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33D" w:rsidRDefault="00B76865" w:rsidP="00F7733D">
      <w:pPr>
        <w:rPr>
          <w:rFonts w:ascii="Times New Roman" w:hAnsi="Times New Roman" w:cs="Times New Roman"/>
          <w:sz w:val="28"/>
          <w:szCs w:val="28"/>
          <w:u w:val="single"/>
        </w:rPr>
      </w:pPr>
      <w:bookmarkStart w:id="0" w:name="_GoBack"/>
      <w:bookmarkEnd w:id="0"/>
      <w:r w:rsidRPr="00B768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6865">
        <w:rPr>
          <w:rFonts w:ascii="Times New Roman" w:hAnsi="Times New Roman" w:cs="Times New Roman"/>
          <w:sz w:val="28"/>
          <w:szCs w:val="28"/>
        </w:rPr>
        <w:t xml:space="preserve">       </w:t>
      </w:r>
      <w:r>
        <w:rPr>
          <w:rFonts w:ascii="Times New Roman" w:hAnsi="Times New Roman" w:cs="Times New Roman"/>
          <w:sz w:val="28"/>
          <w:szCs w:val="28"/>
          <w:u w:val="single"/>
        </w:rPr>
        <w:t xml:space="preserve"> MERCER COUNTY ESTATE PLANNING COUNCIL</w:t>
      </w:r>
    </w:p>
    <w:p w:rsidR="00F7733D" w:rsidRDefault="00F7733D" w:rsidP="00F7733D">
      <w:pPr>
        <w:rPr>
          <w:rFonts w:ascii="Times New Roman" w:hAnsi="Times New Roman" w:cs="Times New Roman"/>
          <w:sz w:val="28"/>
          <w:szCs w:val="28"/>
          <w:u w:val="single"/>
        </w:rPr>
      </w:pPr>
      <w:r w:rsidRPr="006269EF">
        <w:rPr>
          <w:rFonts w:ascii="Times New Roman" w:hAnsi="Times New Roman" w:cs="Times New Roman"/>
          <w:sz w:val="28"/>
          <w:szCs w:val="28"/>
        </w:rPr>
        <w:t xml:space="preserve">    </w:t>
      </w:r>
      <w:r>
        <w:rPr>
          <w:rFonts w:ascii="Times New Roman" w:hAnsi="Times New Roman" w:cs="Times New Roman"/>
          <w:sz w:val="28"/>
          <w:szCs w:val="28"/>
          <w:u w:val="single"/>
        </w:rPr>
        <w:t>HIGHLIGHTS FROM HECKERLING – IT’S BEEN A VERY BUSY YEAR</w:t>
      </w:r>
    </w:p>
    <w:p w:rsidR="00F7733D" w:rsidRDefault="00F7733D" w:rsidP="00F7733D">
      <w:pPr>
        <w:rPr>
          <w:rFonts w:ascii="Times New Roman" w:hAnsi="Times New Roman" w:cs="Times New Roman"/>
          <w:sz w:val="28"/>
          <w:szCs w:val="28"/>
          <w:u w:val="single"/>
        </w:rPr>
      </w:pPr>
      <w:r w:rsidRPr="00823AAD">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sidR="00B76865">
        <w:rPr>
          <w:rFonts w:ascii="Times New Roman" w:hAnsi="Times New Roman" w:cs="Times New Roman"/>
          <w:sz w:val="28"/>
          <w:szCs w:val="28"/>
          <w:u w:val="single"/>
        </w:rPr>
        <w:t>FEBRUARY 6</w:t>
      </w:r>
      <w:r>
        <w:rPr>
          <w:rFonts w:ascii="Times New Roman" w:hAnsi="Times New Roman" w:cs="Times New Roman"/>
          <w:sz w:val="28"/>
          <w:szCs w:val="28"/>
          <w:u w:val="single"/>
        </w:rPr>
        <w:t>, 2019</w:t>
      </w:r>
    </w:p>
    <w:p w:rsidR="00F7733D" w:rsidRDefault="00F7733D" w:rsidP="00F7733D">
      <w:pPr>
        <w:rPr>
          <w:rFonts w:ascii="Times New Roman" w:hAnsi="Times New Roman" w:cs="Times New Roman"/>
          <w:sz w:val="28"/>
          <w:szCs w:val="28"/>
          <w:u w:val="single"/>
        </w:rPr>
      </w:pPr>
    </w:p>
    <w:p w:rsidR="00F7733D" w:rsidRDefault="00F7733D" w:rsidP="00F7733D">
      <w:pPr>
        <w:rPr>
          <w:rFonts w:ascii="Times New Roman" w:hAnsi="Times New Roman" w:cs="Times New Roman"/>
          <w:sz w:val="28"/>
          <w:szCs w:val="28"/>
        </w:rPr>
      </w:pPr>
      <w:r w:rsidRPr="00823AAD">
        <w:rPr>
          <w:rFonts w:ascii="Times New Roman" w:hAnsi="Times New Roman" w:cs="Times New Roman"/>
          <w:sz w:val="28"/>
          <w:szCs w:val="28"/>
        </w:rPr>
        <w:t xml:space="preserve">                  </w:t>
      </w:r>
      <w:r>
        <w:rPr>
          <w:rFonts w:ascii="Times New Roman" w:hAnsi="Times New Roman" w:cs="Times New Roman"/>
          <w:sz w:val="28"/>
          <w:szCs w:val="28"/>
        </w:rPr>
        <w:t xml:space="preserve">                     Richard Greenberg, Esq.</w:t>
      </w:r>
    </w:p>
    <w:p w:rsidR="00F7733D" w:rsidRDefault="00F7733D" w:rsidP="00F7733D">
      <w:pPr>
        <w:rPr>
          <w:rFonts w:ascii="Times New Roman" w:hAnsi="Times New Roman" w:cs="Times New Roman"/>
          <w:sz w:val="28"/>
          <w:szCs w:val="28"/>
        </w:rPr>
      </w:pPr>
      <w:r>
        <w:rPr>
          <w:rFonts w:ascii="Times New Roman" w:hAnsi="Times New Roman" w:cs="Times New Roman"/>
          <w:sz w:val="28"/>
          <w:szCs w:val="28"/>
        </w:rPr>
        <w:t xml:space="preserve">                                       Greenberg &amp; Schulman</w:t>
      </w:r>
    </w:p>
    <w:p w:rsidR="00F7733D" w:rsidRDefault="00F7733D" w:rsidP="00F7733D">
      <w:pPr>
        <w:rPr>
          <w:rFonts w:ascii="Times New Roman" w:hAnsi="Times New Roman" w:cs="Times New Roman"/>
          <w:sz w:val="28"/>
          <w:szCs w:val="28"/>
        </w:rPr>
      </w:pPr>
      <w:r>
        <w:rPr>
          <w:rFonts w:ascii="Times New Roman" w:hAnsi="Times New Roman" w:cs="Times New Roman"/>
          <w:sz w:val="28"/>
          <w:szCs w:val="28"/>
        </w:rPr>
        <w:t xml:space="preserve">                       90 Woodbridge Center Drive Suite 200</w:t>
      </w:r>
    </w:p>
    <w:p w:rsidR="00F7733D" w:rsidRDefault="00F7733D" w:rsidP="00F7733D">
      <w:pPr>
        <w:rPr>
          <w:rFonts w:ascii="Times New Roman" w:hAnsi="Times New Roman" w:cs="Times New Roman"/>
          <w:sz w:val="28"/>
          <w:szCs w:val="28"/>
        </w:rPr>
      </w:pPr>
      <w:r>
        <w:rPr>
          <w:rFonts w:ascii="Times New Roman" w:hAnsi="Times New Roman" w:cs="Times New Roman"/>
          <w:sz w:val="28"/>
          <w:szCs w:val="28"/>
        </w:rPr>
        <w:t xml:space="preserve">                                      Woodbridge, NJ 07095</w:t>
      </w:r>
    </w:p>
    <w:p w:rsidR="00F7733D" w:rsidRDefault="00F7733D" w:rsidP="00F7733D">
      <w:pPr>
        <w:rPr>
          <w:rFonts w:ascii="Times New Roman" w:hAnsi="Times New Roman" w:cs="Times New Roman"/>
          <w:sz w:val="28"/>
          <w:szCs w:val="28"/>
        </w:rPr>
      </w:pPr>
      <w:r>
        <w:rPr>
          <w:rFonts w:ascii="Times New Roman" w:hAnsi="Times New Roman" w:cs="Times New Roman"/>
          <w:sz w:val="28"/>
          <w:szCs w:val="28"/>
        </w:rPr>
        <w:t xml:space="preserve">                                       </w:t>
      </w:r>
      <w:hyperlink r:id="rId5" w:history="1">
        <w:r w:rsidRPr="00864750">
          <w:rPr>
            <w:rStyle w:val="Hyperlink"/>
            <w:rFonts w:ascii="Times New Roman" w:hAnsi="Times New Roman" w:cs="Times New Roman"/>
            <w:sz w:val="28"/>
            <w:szCs w:val="28"/>
          </w:rPr>
          <w:t>greenyanks@aol.com</w:t>
        </w:r>
      </w:hyperlink>
    </w:p>
    <w:p w:rsidR="00F7733D" w:rsidRDefault="00F7733D" w:rsidP="00F7733D">
      <w:pPr>
        <w:rPr>
          <w:rFonts w:ascii="Times New Roman" w:hAnsi="Times New Roman" w:cs="Times New Roman"/>
          <w:sz w:val="28"/>
          <w:szCs w:val="28"/>
        </w:rPr>
      </w:pPr>
    </w:p>
    <w:p w:rsidR="00F7733D" w:rsidRDefault="00F7733D" w:rsidP="00F7733D">
      <w:pPr>
        <w:jc w:val="both"/>
        <w:rPr>
          <w:rFonts w:ascii="Times New Roman" w:hAnsi="Times New Roman" w:cs="Times New Roman"/>
          <w:sz w:val="28"/>
          <w:szCs w:val="28"/>
        </w:rPr>
      </w:pPr>
      <w:r>
        <w:rPr>
          <w:rFonts w:ascii="Times New Roman" w:hAnsi="Times New Roman" w:cs="Times New Roman"/>
          <w:sz w:val="28"/>
          <w:szCs w:val="28"/>
        </w:rPr>
        <w:t>The 53</w:t>
      </w:r>
      <w:r w:rsidRPr="00584AC7">
        <w:rPr>
          <w:rFonts w:ascii="Times New Roman" w:hAnsi="Times New Roman" w:cs="Times New Roman"/>
          <w:sz w:val="28"/>
          <w:szCs w:val="28"/>
          <w:vertAlign w:val="superscript"/>
        </w:rPr>
        <w:t>rd</w:t>
      </w:r>
      <w:r>
        <w:rPr>
          <w:rFonts w:ascii="Times New Roman" w:hAnsi="Times New Roman" w:cs="Times New Roman"/>
          <w:sz w:val="28"/>
          <w:szCs w:val="28"/>
        </w:rPr>
        <w:t xml:space="preserve"> Annual Heckerling Institute on Estate Planning was chocked full of the usual goodies, but the advent of the Tax Cuts and Jobs Act of 2017 brought  a bevy of new topics and discussions which render our ever-changing world of estate planning more challenging. </w:t>
      </w:r>
    </w:p>
    <w:p w:rsidR="00F7733D" w:rsidRDefault="00F7733D" w:rsidP="00F7733D">
      <w:pPr>
        <w:jc w:val="both"/>
        <w:rPr>
          <w:rFonts w:ascii="Times New Roman" w:hAnsi="Times New Roman" w:cs="Times New Roman"/>
          <w:sz w:val="28"/>
          <w:szCs w:val="28"/>
        </w:rPr>
      </w:pPr>
      <w:r>
        <w:rPr>
          <w:rFonts w:ascii="Times New Roman" w:hAnsi="Times New Roman" w:cs="Times New Roman"/>
          <w:sz w:val="28"/>
          <w:szCs w:val="28"/>
        </w:rPr>
        <w:t>Here are some of the key points from the Institute we will attempt to address as time will permit.</w:t>
      </w:r>
    </w:p>
    <w:p w:rsidR="00F7733D" w:rsidRDefault="00F7733D" w:rsidP="00F7733D">
      <w:pPr>
        <w:rPr>
          <w:rFonts w:ascii="Times New Roman" w:hAnsi="Times New Roman" w:cs="Times New Roman"/>
          <w:sz w:val="28"/>
          <w:szCs w:val="28"/>
          <w:u w:val="single"/>
        </w:rPr>
      </w:pPr>
      <w:r>
        <w:rPr>
          <w:rFonts w:ascii="Times New Roman" w:hAnsi="Times New Roman" w:cs="Times New Roman"/>
          <w:sz w:val="28"/>
          <w:szCs w:val="28"/>
          <w:u w:val="single"/>
        </w:rPr>
        <w:t xml:space="preserve">            _________________________________________________</w:t>
      </w:r>
    </w:p>
    <w:p w:rsidR="00F7733D" w:rsidRDefault="00F7733D" w:rsidP="00F7733D">
      <w:pPr>
        <w:jc w:val="both"/>
        <w:rPr>
          <w:rFonts w:ascii="Times New Roman" w:hAnsi="Times New Roman" w:cs="Times New Roman"/>
          <w:sz w:val="28"/>
          <w:szCs w:val="28"/>
        </w:rPr>
      </w:pPr>
      <w:r w:rsidRPr="00454DD5">
        <w:rPr>
          <w:rFonts w:ascii="Times New Roman" w:hAnsi="Times New Roman" w:cs="Times New Roman"/>
          <w:sz w:val="28"/>
          <w:szCs w:val="28"/>
          <w:u w:val="single"/>
        </w:rPr>
        <w:t xml:space="preserve">It’s all </w:t>
      </w:r>
      <w:r>
        <w:rPr>
          <w:rFonts w:ascii="Times New Roman" w:hAnsi="Times New Roman" w:cs="Times New Roman"/>
          <w:sz w:val="28"/>
          <w:szCs w:val="28"/>
          <w:u w:val="single"/>
        </w:rPr>
        <w:t>about</w:t>
      </w:r>
      <w:r w:rsidRPr="00454DD5">
        <w:rPr>
          <w:rFonts w:ascii="Times New Roman" w:hAnsi="Times New Roman" w:cs="Times New Roman"/>
          <w:sz w:val="28"/>
          <w:szCs w:val="28"/>
          <w:u w:val="single"/>
        </w:rPr>
        <w:t xml:space="preserve"> the Basis</w:t>
      </w:r>
      <w:r>
        <w:rPr>
          <w:rFonts w:ascii="Times New Roman" w:hAnsi="Times New Roman" w:cs="Times New Roman"/>
          <w:sz w:val="28"/>
          <w:szCs w:val="28"/>
        </w:rPr>
        <w:t xml:space="preserve"> – Drafting, unwinding and planning to cause inclusion of assets in estates under the ever-increasing Applicable Exclusion Amount.</w:t>
      </w:r>
    </w:p>
    <w:p w:rsidR="00F7733D" w:rsidRDefault="00F7733D" w:rsidP="00F7733D">
      <w:pPr>
        <w:jc w:val="both"/>
        <w:rPr>
          <w:rFonts w:ascii="Times New Roman" w:hAnsi="Times New Roman" w:cs="Times New Roman"/>
          <w:sz w:val="28"/>
          <w:szCs w:val="28"/>
        </w:rPr>
      </w:pPr>
      <w:r w:rsidRPr="00454DD5">
        <w:rPr>
          <w:rFonts w:ascii="Times New Roman" w:hAnsi="Times New Roman" w:cs="Times New Roman"/>
          <w:sz w:val="28"/>
          <w:szCs w:val="28"/>
          <w:u w:val="single"/>
        </w:rPr>
        <w:t>Sections 199A - The Final Regulations have</w:t>
      </w:r>
      <w:r w:rsidRPr="00A34EB1">
        <w:rPr>
          <w:rFonts w:ascii="Times New Roman" w:hAnsi="Times New Roman" w:cs="Times New Roman"/>
          <w:sz w:val="28"/>
          <w:szCs w:val="28"/>
          <w:u w:val="single"/>
        </w:rPr>
        <w:t xml:space="preserve"> arrived</w:t>
      </w:r>
      <w:r>
        <w:rPr>
          <w:rFonts w:ascii="Times New Roman" w:hAnsi="Times New Roman" w:cs="Times New Roman"/>
          <w:sz w:val="28"/>
          <w:szCs w:val="28"/>
        </w:rPr>
        <w:t xml:space="preserve"> – Section 199A is to many the focal point of the 2017 Act. The Final Regulations – 247 pages worth - were issued 2 hours after Heckerling concluded - but not too late to address here!!</w:t>
      </w:r>
    </w:p>
    <w:p w:rsidR="00F7733D" w:rsidRDefault="00F7733D" w:rsidP="00F7733D">
      <w:pPr>
        <w:jc w:val="both"/>
        <w:rPr>
          <w:rFonts w:ascii="Times New Roman" w:hAnsi="Times New Roman" w:cs="Times New Roman"/>
          <w:sz w:val="28"/>
          <w:szCs w:val="28"/>
        </w:rPr>
      </w:pPr>
      <w:r w:rsidRPr="005A7C43">
        <w:rPr>
          <w:rFonts w:ascii="Times New Roman" w:hAnsi="Times New Roman" w:cs="Times New Roman"/>
          <w:sz w:val="28"/>
          <w:szCs w:val="28"/>
          <w:u w:val="single"/>
        </w:rPr>
        <w:t>The Multiple Trust Regulations</w:t>
      </w:r>
      <w:r>
        <w:rPr>
          <w:rFonts w:ascii="Times New Roman" w:hAnsi="Times New Roman" w:cs="Times New Roman"/>
          <w:sz w:val="28"/>
          <w:szCs w:val="28"/>
        </w:rPr>
        <w:t xml:space="preserve"> – People talked about using multiple trusts for income tax savings and the Treasury reacted. The ground rules have been established.</w:t>
      </w:r>
    </w:p>
    <w:p w:rsidR="00F7733D" w:rsidRDefault="00F7733D" w:rsidP="00F7733D">
      <w:pPr>
        <w:jc w:val="both"/>
        <w:rPr>
          <w:rFonts w:ascii="Times New Roman" w:hAnsi="Times New Roman" w:cs="Times New Roman"/>
          <w:sz w:val="28"/>
          <w:szCs w:val="28"/>
        </w:rPr>
      </w:pPr>
      <w:r w:rsidRPr="005A7C43">
        <w:rPr>
          <w:rFonts w:ascii="Times New Roman" w:hAnsi="Times New Roman" w:cs="Times New Roman"/>
          <w:sz w:val="28"/>
          <w:szCs w:val="28"/>
          <w:u w:val="single"/>
        </w:rPr>
        <w:lastRenderedPageBreak/>
        <w:t>Planning with the “bumped up” Basic Exclusion Amount</w:t>
      </w:r>
      <w:r>
        <w:rPr>
          <w:rFonts w:ascii="Times New Roman" w:hAnsi="Times New Roman" w:cs="Times New Roman"/>
          <w:sz w:val="28"/>
          <w:szCs w:val="28"/>
        </w:rPr>
        <w:t xml:space="preserve"> – Living in a temporary $11,400,000 Exemption Amount World - The Do’s, Don’ts and the Anti-Clawback Ruling.</w:t>
      </w:r>
    </w:p>
    <w:p w:rsidR="00F7733D" w:rsidRDefault="00F7733D" w:rsidP="00F7733D">
      <w:pPr>
        <w:jc w:val="both"/>
        <w:rPr>
          <w:rFonts w:ascii="Times New Roman" w:hAnsi="Times New Roman" w:cs="Times New Roman"/>
          <w:sz w:val="28"/>
          <w:szCs w:val="28"/>
        </w:rPr>
      </w:pPr>
      <w:r w:rsidRPr="005A7C43">
        <w:rPr>
          <w:rFonts w:ascii="Times New Roman" w:hAnsi="Times New Roman" w:cs="Times New Roman"/>
          <w:sz w:val="28"/>
          <w:szCs w:val="28"/>
          <w:u w:val="single"/>
        </w:rPr>
        <w:t>The End of the Excess Deduction on Termination</w:t>
      </w:r>
      <w:r>
        <w:rPr>
          <w:rFonts w:ascii="Times New Roman" w:hAnsi="Times New Roman" w:cs="Times New Roman"/>
          <w:sz w:val="28"/>
          <w:szCs w:val="28"/>
        </w:rPr>
        <w:t xml:space="preserve"> – or will Notice 2018-61 come to the rescue?? The IRS thought process and the potential common sense (editorial comment) solution.</w:t>
      </w:r>
    </w:p>
    <w:p w:rsidR="00F7733D" w:rsidRDefault="00F7733D" w:rsidP="00F7733D">
      <w:pPr>
        <w:jc w:val="both"/>
        <w:rPr>
          <w:rFonts w:ascii="Times New Roman" w:hAnsi="Times New Roman" w:cs="Times New Roman"/>
          <w:sz w:val="28"/>
          <w:szCs w:val="28"/>
        </w:rPr>
      </w:pPr>
      <w:r w:rsidRPr="00867269">
        <w:rPr>
          <w:rFonts w:ascii="Times New Roman" w:hAnsi="Times New Roman" w:cs="Times New Roman"/>
          <w:sz w:val="28"/>
          <w:szCs w:val="28"/>
          <w:u w:val="single"/>
        </w:rPr>
        <w:t>Powell vs. Commissioner</w:t>
      </w:r>
      <w:r>
        <w:rPr>
          <w:rFonts w:ascii="Times New Roman" w:hAnsi="Times New Roman" w:cs="Times New Roman"/>
          <w:sz w:val="28"/>
          <w:szCs w:val="28"/>
        </w:rPr>
        <w:t xml:space="preserve"> – Your existing family partnership plans are in implosion mode – cures for those who need them and a potential weapon for those who do not.</w:t>
      </w:r>
    </w:p>
    <w:p w:rsidR="00F7733D" w:rsidRDefault="00F7733D" w:rsidP="00F7733D">
      <w:pPr>
        <w:jc w:val="both"/>
        <w:rPr>
          <w:rFonts w:ascii="Times New Roman" w:hAnsi="Times New Roman" w:cs="Times New Roman"/>
          <w:sz w:val="28"/>
          <w:szCs w:val="28"/>
        </w:rPr>
      </w:pPr>
      <w:r w:rsidRPr="005A7C43">
        <w:rPr>
          <w:rFonts w:ascii="Times New Roman" w:hAnsi="Times New Roman" w:cs="Times New Roman"/>
          <w:sz w:val="28"/>
          <w:szCs w:val="28"/>
          <w:u w:val="single"/>
        </w:rPr>
        <w:t>Economic Opportunity Zones</w:t>
      </w:r>
      <w:r>
        <w:rPr>
          <w:rFonts w:ascii="Times New Roman" w:hAnsi="Times New Roman" w:cs="Times New Roman"/>
          <w:sz w:val="28"/>
          <w:szCs w:val="28"/>
        </w:rPr>
        <w:t xml:space="preserve"> </w:t>
      </w:r>
      <w:r w:rsidRPr="005A7C43">
        <w:rPr>
          <w:rFonts w:ascii="Times New Roman" w:hAnsi="Times New Roman" w:cs="Times New Roman"/>
          <w:sz w:val="28"/>
          <w:szCs w:val="28"/>
          <w:u w:val="single"/>
        </w:rPr>
        <w:t>– It’s a Brand New Ballgame</w:t>
      </w:r>
      <w:r>
        <w:rPr>
          <w:rFonts w:ascii="Times New Roman" w:hAnsi="Times New Roman" w:cs="Times New Roman"/>
          <w:sz w:val="28"/>
          <w:szCs w:val="28"/>
        </w:rPr>
        <w:t xml:space="preserve"> - Section 1400Z (that’s not a typo) provides capital gain deferral and minimization in a brand new format which clients may prefer to more rigid deferrals or where other deferrals are not available.</w:t>
      </w:r>
    </w:p>
    <w:p w:rsidR="00F7733D" w:rsidRPr="00A34EB1" w:rsidRDefault="00F7733D" w:rsidP="00F7733D">
      <w:pPr>
        <w:jc w:val="both"/>
        <w:rPr>
          <w:rFonts w:ascii="Times New Roman" w:hAnsi="Times New Roman" w:cs="Times New Roman"/>
          <w:sz w:val="28"/>
          <w:szCs w:val="28"/>
        </w:rPr>
      </w:pPr>
      <w:r w:rsidRPr="00A34EB1">
        <w:rPr>
          <w:rFonts w:ascii="Times New Roman" w:hAnsi="Times New Roman" w:cs="Times New Roman"/>
          <w:sz w:val="28"/>
          <w:szCs w:val="28"/>
          <w:u w:val="single"/>
        </w:rPr>
        <w:t>Choice of Entity – It Ain’t as Easy as Before</w:t>
      </w:r>
      <w:r>
        <w:rPr>
          <w:rFonts w:ascii="Times New Roman" w:hAnsi="Times New Roman" w:cs="Times New Roman"/>
          <w:sz w:val="28"/>
          <w:szCs w:val="28"/>
          <w:u w:val="single"/>
        </w:rPr>
        <w:t xml:space="preserve"> </w:t>
      </w:r>
      <w:r>
        <w:rPr>
          <w:rFonts w:ascii="Times New Roman" w:hAnsi="Times New Roman" w:cs="Times New Roman"/>
          <w:sz w:val="28"/>
          <w:szCs w:val="28"/>
        </w:rPr>
        <w:t>– Once upon a time – like 2017 – pass-through entities were the clear choice for most businesses. With a 21% rate and Section 1202 relief, C Corporations may be on the rise – but beware the pitfalls and the conversion issues.</w:t>
      </w:r>
    </w:p>
    <w:p w:rsidR="00F7733D" w:rsidRDefault="00F7733D" w:rsidP="00F7733D">
      <w:pPr>
        <w:jc w:val="both"/>
        <w:rPr>
          <w:rFonts w:ascii="Times New Roman" w:hAnsi="Times New Roman" w:cs="Times New Roman"/>
          <w:sz w:val="28"/>
          <w:szCs w:val="28"/>
        </w:rPr>
      </w:pPr>
      <w:r w:rsidRPr="00A34EB1">
        <w:rPr>
          <w:rFonts w:ascii="Times New Roman" w:hAnsi="Times New Roman" w:cs="Times New Roman"/>
          <w:sz w:val="28"/>
          <w:szCs w:val="28"/>
          <w:u w:val="single"/>
        </w:rPr>
        <w:t>State Income Taxation of Trusts – Traps for the Unwary</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Recent case law highlights how certain trusts are paying State income taxes and should not while others are subject to State income taxes that can easily be avoided – and now the Supreme Court is getting involved!! </w:t>
      </w:r>
    </w:p>
    <w:p w:rsidR="00F7733D" w:rsidRDefault="00F7733D" w:rsidP="00F7733D">
      <w:pPr>
        <w:jc w:val="both"/>
        <w:rPr>
          <w:rFonts w:ascii="Times New Roman" w:hAnsi="Times New Roman" w:cs="Times New Roman"/>
          <w:sz w:val="28"/>
          <w:szCs w:val="28"/>
        </w:rPr>
      </w:pPr>
      <w:r w:rsidRPr="0081523B">
        <w:rPr>
          <w:rFonts w:ascii="Times New Roman" w:hAnsi="Times New Roman" w:cs="Times New Roman"/>
          <w:sz w:val="28"/>
          <w:szCs w:val="28"/>
          <w:u w:val="single"/>
        </w:rPr>
        <w:t>Divorce and the 2017 Tax Act – Brand New Rules, Same Old Clients</w:t>
      </w:r>
      <w:r>
        <w:rPr>
          <w:rFonts w:ascii="Times New Roman" w:hAnsi="Times New Roman" w:cs="Times New Roman"/>
          <w:sz w:val="28"/>
          <w:szCs w:val="28"/>
          <w:u w:val="single"/>
        </w:rPr>
        <w:t xml:space="preserve"> </w:t>
      </w:r>
      <w:r>
        <w:rPr>
          <w:rFonts w:ascii="Times New Roman" w:hAnsi="Times New Roman" w:cs="Times New Roman"/>
          <w:sz w:val="28"/>
          <w:szCs w:val="28"/>
        </w:rPr>
        <w:t>– The tax treatment of alimony has changed, but that will not decrease the divorce rate. Premarital Agreements – past and future – require different thinking – as do divorce settlements.</w:t>
      </w:r>
    </w:p>
    <w:p w:rsidR="00F7733D" w:rsidRPr="003A0BE9" w:rsidRDefault="00F7733D" w:rsidP="00F7733D">
      <w:pPr>
        <w:jc w:val="both"/>
        <w:rPr>
          <w:rFonts w:ascii="Times New Roman" w:hAnsi="Times New Roman" w:cs="Times New Roman"/>
          <w:sz w:val="28"/>
          <w:szCs w:val="28"/>
        </w:rPr>
      </w:pPr>
      <w:r w:rsidRPr="003A0BE9">
        <w:rPr>
          <w:rFonts w:ascii="Times New Roman" w:hAnsi="Times New Roman" w:cs="Times New Roman"/>
          <w:sz w:val="28"/>
          <w:szCs w:val="28"/>
          <w:u w:val="single"/>
        </w:rPr>
        <w:t xml:space="preserve">Mariano Rivera – No Better Choice for a </w:t>
      </w:r>
      <w:r>
        <w:rPr>
          <w:rFonts w:ascii="Times New Roman" w:hAnsi="Times New Roman" w:cs="Times New Roman"/>
          <w:sz w:val="28"/>
          <w:szCs w:val="28"/>
          <w:u w:val="single"/>
        </w:rPr>
        <w:t>U</w:t>
      </w:r>
      <w:r w:rsidRPr="003A0BE9">
        <w:rPr>
          <w:rFonts w:ascii="Times New Roman" w:hAnsi="Times New Roman" w:cs="Times New Roman"/>
          <w:sz w:val="28"/>
          <w:szCs w:val="28"/>
          <w:u w:val="single"/>
        </w:rPr>
        <w:t xml:space="preserve">nanimous </w:t>
      </w:r>
      <w:r>
        <w:rPr>
          <w:rFonts w:ascii="Times New Roman" w:hAnsi="Times New Roman" w:cs="Times New Roman"/>
          <w:sz w:val="28"/>
          <w:szCs w:val="28"/>
          <w:u w:val="single"/>
        </w:rPr>
        <w:t>V</w:t>
      </w:r>
      <w:r w:rsidRPr="003A0BE9">
        <w:rPr>
          <w:rFonts w:ascii="Times New Roman" w:hAnsi="Times New Roman" w:cs="Times New Roman"/>
          <w:sz w:val="28"/>
          <w:szCs w:val="28"/>
          <w:u w:val="single"/>
        </w:rPr>
        <w:t>ote</w:t>
      </w:r>
      <w:r>
        <w:rPr>
          <w:rFonts w:ascii="Times New Roman" w:hAnsi="Times New Roman" w:cs="Times New Roman"/>
          <w:sz w:val="28"/>
          <w:szCs w:val="28"/>
          <w:u w:val="single"/>
        </w:rPr>
        <w:t xml:space="preserve"> </w:t>
      </w:r>
      <w:r>
        <w:rPr>
          <w:rFonts w:ascii="Times New Roman" w:hAnsi="Times New Roman" w:cs="Times New Roman"/>
          <w:sz w:val="28"/>
          <w:szCs w:val="28"/>
        </w:rPr>
        <w:t>– The Baseball Hall of Fame finally has a unanimous inductee – and they rightfully select the greatest of all time at his position, the last baseball player to ever wear number 42. NFL officiating on the other hand ……………I’m glad I’m not a Saints fan!!</w:t>
      </w:r>
    </w:p>
    <w:p w:rsidR="0032568B" w:rsidRDefault="0032568B"/>
    <w:sectPr w:rsidR="00325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3D"/>
    <w:rsid w:val="002B75B3"/>
    <w:rsid w:val="0032568B"/>
    <w:rsid w:val="009E496F"/>
    <w:rsid w:val="00B76865"/>
    <w:rsid w:val="00F7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3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3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eenyanks@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Greenberg</dc:creator>
  <cp:lastModifiedBy>Richard Greenberg</cp:lastModifiedBy>
  <cp:revision>2</cp:revision>
  <dcterms:created xsi:type="dcterms:W3CDTF">2019-01-23T21:35:00Z</dcterms:created>
  <dcterms:modified xsi:type="dcterms:W3CDTF">2019-01-23T21:35:00Z</dcterms:modified>
</cp:coreProperties>
</file>