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50803" w:rsidR="0070161C" w:rsidP="0070161C" w:rsidRDefault="0070161C">
      <w:pPr>
        <w:spacing w:after="120"/>
        <w:jc w:val="both"/>
        <w:rPr>
          <w:noProof/>
          <w:lang w:bidi="he-IL"/>
        </w:rPr>
      </w:pPr>
      <w:r w:rsidRPr="002508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C71107A" wp14:anchorId="13722138">
                <wp:simplePos x="0" y="0"/>
                <wp:positionH relativeFrom="column">
                  <wp:posOffset>3500755</wp:posOffset>
                </wp:positionH>
                <wp:positionV relativeFrom="paragraph">
                  <wp:posOffset>12065</wp:posOffset>
                </wp:positionV>
                <wp:extent cx="2468245" cy="1828800"/>
                <wp:effectExtent l="0" t="0" r="0" b="0"/>
                <wp:wrapNone/>
                <wp:docPr id="12" name="Rectangle 4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8245" cy="1828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0161C" w:rsidP="00D56F4D" w:rsidRDefault="00916AA8">
                            <w:pPr>
                              <w:spacing w:after="120"/>
                              <w:jc w:val="right"/>
                              <w:rPr>
                                <w:rFonts w:ascii="Corbel" w:hAnsi="Corbel"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1F497D"/>
                                <w:sz w:val="32"/>
                                <w:szCs w:val="32"/>
                              </w:rPr>
                              <w:t>Bruce D. Steiner</w:t>
                            </w:r>
                            <w:r w:rsidR="0070161C">
                              <w:rPr>
                                <w:rFonts w:ascii="Helvetica" w:hAnsi="Helvetica"/>
                                <w:b/>
                                <w:color w:val="1F497D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Pr="006F3A43" w:rsidR="0070161C" w:rsidP="00D56F4D" w:rsidRDefault="0070161C">
                            <w:pPr>
                              <w:jc w:val="right"/>
                              <w:rPr>
                                <w:rFonts w:ascii="Corbel" w:hAnsi="Corbel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564921">
                              <w:rPr>
                                <w:rFonts w:ascii="Corbel" w:hAnsi="Corbel"/>
                                <w:b/>
                                <w:color w:val="1F497D"/>
                                <w:sz w:val="20"/>
                                <w:szCs w:val="20"/>
                              </w:rPr>
                              <w:t>Kleinberg, Kaplan, Wolff &amp; Cohen, P.C.</w:t>
                            </w:r>
                            <w:r>
                              <w:rPr>
                                <w:rFonts w:ascii="Corbel" w:hAnsi="Corbel"/>
                                <w:b/>
                                <w:color w:val="1F497D"/>
                                <w:sz w:val="18"/>
                                <w:szCs w:val="18"/>
                              </w:rPr>
                              <w:br/>
                            </w:r>
                            <w:r w:rsidRPr="006F3A43">
                              <w:rPr>
                                <w:rFonts w:ascii="Corbel" w:hAnsi="Corbel"/>
                                <w:color w:val="1F497D"/>
                                <w:sz w:val="18"/>
                                <w:szCs w:val="18"/>
                              </w:rPr>
                              <w:t>5</w:t>
                            </w:r>
                            <w:r w:rsidR="00694D4E">
                              <w:rPr>
                                <w:rFonts w:ascii="Corbel" w:hAnsi="Corbel"/>
                                <w:color w:val="1F497D"/>
                                <w:sz w:val="18"/>
                                <w:szCs w:val="18"/>
                              </w:rPr>
                              <w:t>00 Fifth Avenue</w:t>
                            </w:r>
                            <w:r>
                              <w:rPr>
                                <w:rFonts w:ascii="Corbel" w:hAnsi="Corbel"/>
                                <w:color w:val="1F497D"/>
                                <w:sz w:val="18"/>
                                <w:szCs w:val="18"/>
                              </w:rPr>
                              <w:br/>
                            </w:r>
                            <w:r w:rsidRPr="006F3A43">
                              <w:rPr>
                                <w:rFonts w:ascii="Corbel" w:hAnsi="Corbel"/>
                                <w:color w:val="1F497D"/>
                                <w:sz w:val="18"/>
                                <w:szCs w:val="18"/>
                              </w:rPr>
                              <w:t>N</w:t>
                            </w:r>
                            <w:r w:rsidR="00694D4E">
                              <w:rPr>
                                <w:rFonts w:ascii="Corbel" w:hAnsi="Corbel"/>
                                <w:color w:val="1F497D"/>
                                <w:sz w:val="18"/>
                                <w:szCs w:val="18"/>
                              </w:rPr>
                              <w:t>ew York, NY 10110</w:t>
                            </w:r>
                            <w:r>
                              <w:rPr>
                                <w:rFonts w:ascii="Corbel" w:hAnsi="Corbel"/>
                                <w:color w:val="1F497D"/>
                                <w:sz w:val="18"/>
                                <w:szCs w:val="18"/>
                              </w:rPr>
                              <w:br/>
                            </w:r>
                            <w:r w:rsidRPr="006F3A43">
                              <w:rPr>
                                <w:rFonts w:ascii="Corbel" w:hAnsi="Corbel"/>
                                <w:color w:val="1F497D"/>
                                <w:sz w:val="18"/>
                                <w:szCs w:val="18"/>
                              </w:rPr>
                              <w:t>212.</w:t>
                            </w:r>
                            <w:r w:rsidR="00B317AE">
                              <w:rPr>
                                <w:rFonts w:ascii="Corbel" w:hAnsi="Corbel"/>
                                <w:color w:val="1F497D"/>
                                <w:sz w:val="18"/>
                                <w:szCs w:val="18"/>
                              </w:rPr>
                              <w:t>986</w:t>
                            </w:r>
                            <w:r w:rsidRPr="006F3A43">
                              <w:rPr>
                                <w:rFonts w:ascii="Corbel" w:hAnsi="Corbel"/>
                                <w:color w:val="1F497D"/>
                                <w:sz w:val="18"/>
                                <w:szCs w:val="18"/>
                              </w:rPr>
                              <w:t>.</w:t>
                            </w:r>
                            <w:r w:rsidR="00B317AE">
                              <w:rPr>
                                <w:rFonts w:ascii="Corbel" w:hAnsi="Corbel"/>
                                <w:color w:val="1F497D"/>
                                <w:sz w:val="18"/>
                                <w:szCs w:val="18"/>
                              </w:rPr>
                              <w:t>6000</w:t>
                            </w:r>
                            <w:r>
                              <w:rPr>
                                <w:rFonts w:ascii="Corbel" w:hAnsi="Corbel"/>
                                <w:color w:val="1F497D"/>
                                <w:sz w:val="18"/>
                                <w:szCs w:val="18"/>
                              </w:rPr>
                              <w:br/>
                            </w:r>
                            <w:r w:rsidR="00916AA8">
                              <w:rPr>
                                <w:rFonts w:ascii="Corbel" w:hAnsi="Corbel"/>
                                <w:color w:val="1F497D"/>
                                <w:sz w:val="18"/>
                                <w:szCs w:val="18"/>
                              </w:rPr>
                              <w:t>bsteiner</w:t>
                            </w:r>
                            <w:r w:rsidRPr="006F3A43">
                              <w:rPr>
                                <w:rFonts w:ascii="Corbel" w:hAnsi="Corbel"/>
                                <w:color w:val="1F497D"/>
                                <w:sz w:val="18"/>
                                <w:szCs w:val="18"/>
                              </w:rPr>
                              <w:t>@kkwc.com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left:0;text-align:left;margin-left:275.65pt;margin-top:.95pt;width:194.3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">
                <v:path arrowok="t"/>
                <v:textbox>
                  <w:txbxContent>
                    <w:p w:rsidR="0070161C" w:rsidP="00D56F4D" w:rsidRDefault="00916AA8">
                      <w:pPr>
                        <w:spacing w:after="120"/>
                        <w:jc w:val="right"/>
                        <w:rPr>
                          <w:rFonts w:ascii="Corbel" w:hAnsi="Corbel"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1F497D"/>
                          <w:sz w:val="32"/>
                          <w:szCs w:val="32"/>
                        </w:rPr>
                        <w:t>Bruce D. Steiner</w:t>
                      </w:r>
                      <w:r w:rsidR="0070161C">
                        <w:rPr>
                          <w:rFonts w:ascii="Helvetica" w:hAnsi="Helvetica"/>
                          <w:b/>
                          <w:color w:val="1F497D"/>
                          <w:sz w:val="32"/>
                          <w:szCs w:val="32"/>
                        </w:rPr>
                        <w:br/>
                      </w:r>
                    </w:p>
                    <w:p w:rsidRPr="006F3A43" w:rsidR="0070161C" w:rsidP="00D56F4D" w:rsidRDefault="0070161C">
                      <w:pPr>
                        <w:jc w:val="right"/>
                        <w:rPr>
                          <w:rFonts w:ascii="Corbel" w:hAnsi="Corbel"/>
                          <w:color w:val="1F497D"/>
                          <w:sz w:val="18"/>
                          <w:szCs w:val="18"/>
                        </w:rPr>
                      </w:pPr>
                      <w:r w:rsidRPr="00564921">
                        <w:rPr>
                          <w:rFonts w:ascii="Corbel" w:hAnsi="Corbel"/>
                          <w:b/>
                          <w:color w:val="1F497D"/>
                          <w:sz w:val="20"/>
                          <w:szCs w:val="20"/>
                        </w:rPr>
                        <w:t>Kleinberg, Kaplan, Wolff &amp; Cohen, P.C.</w:t>
                      </w:r>
                      <w:r>
                        <w:rPr>
                          <w:rFonts w:ascii="Corbel" w:hAnsi="Corbel"/>
                          <w:b/>
                          <w:color w:val="1F497D"/>
                          <w:sz w:val="18"/>
                          <w:szCs w:val="18"/>
                        </w:rPr>
                        <w:br/>
                      </w:r>
                      <w:r w:rsidRPr="006F3A43">
                        <w:rPr>
                          <w:rFonts w:ascii="Corbel" w:hAnsi="Corbel"/>
                          <w:color w:val="1F497D"/>
                          <w:sz w:val="18"/>
                          <w:szCs w:val="18"/>
                        </w:rPr>
                        <w:t>5</w:t>
                      </w:r>
                      <w:r w:rsidR="00694D4E">
                        <w:rPr>
                          <w:rFonts w:ascii="Corbel" w:hAnsi="Corbel"/>
                          <w:color w:val="1F497D"/>
                          <w:sz w:val="18"/>
                          <w:szCs w:val="18"/>
                        </w:rPr>
                        <w:t>00 Fifth Avenue</w:t>
                      </w:r>
                      <w:r>
                        <w:rPr>
                          <w:rFonts w:ascii="Corbel" w:hAnsi="Corbel"/>
                          <w:color w:val="1F497D"/>
                          <w:sz w:val="18"/>
                          <w:szCs w:val="18"/>
                        </w:rPr>
                        <w:br/>
                      </w:r>
                      <w:r w:rsidRPr="006F3A43">
                        <w:rPr>
                          <w:rFonts w:ascii="Corbel" w:hAnsi="Corbel"/>
                          <w:color w:val="1F497D"/>
                          <w:sz w:val="18"/>
                          <w:szCs w:val="18"/>
                        </w:rPr>
                        <w:t>N</w:t>
                      </w:r>
                      <w:r w:rsidR="00694D4E">
                        <w:rPr>
                          <w:rFonts w:ascii="Corbel" w:hAnsi="Corbel"/>
                          <w:color w:val="1F497D"/>
                          <w:sz w:val="18"/>
                          <w:szCs w:val="18"/>
                        </w:rPr>
                        <w:t>ew York, NY 10110</w:t>
                      </w:r>
                      <w:r>
                        <w:rPr>
                          <w:rFonts w:ascii="Corbel" w:hAnsi="Corbel"/>
                          <w:color w:val="1F497D"/>
                          <w:sz w:val="18"/>
                          <w:szCs w:val="18"/>
                        </w:rPr>
                        <w:br/>
                      </w:r>
                      <w:r w:rsidRPr="006F3A43">
                        <w:rPr>
                          <w:rFonts w:ascii="Corbel" w:hAnsi="Corbel"/>
                          <w:color w:val="1F497D"/>
                          <w:sz w:val="18"/>
                          <w:szCs w:val="18"/>
                        </w:rPr>
                        <w:t>212.</w:t>
                      </w:r>
                      <w:r w:rsidR="00B317AE">
                        <w:rPr>
                          <w:rFonts w:ascii="Corbel" w:hAnsi="Corbel"/>
                          <w:color w:val="1F497D"/>
                          <w:sz w:val="18"/>
                          <w:szCs w:val="18"/>
                        </w:rPr>
                        <w:t>986</w:t>
                      </w:r>
                      <w:r w:rsidRPr="006F3A43">
                        <w:rPr>
                          <w:rFonts w:ascii="Corbel" w:hAnsi="Corbel"/>
                          <w:color w:val="1F497D"/>
                          <w:sz w:val="18"/>
                          <w:szCs w:val="18"/>
                        </w:rPr>
                        <w:t>.</w:t>
                      </w:r>
                      <w:r w:rsidR="00B317AE">
                        <w:rPr>
                          <w:rFonts w:ascii="Corbel" w:hAnsi="Corbel"/>
                          <w:color w:val="1F497D"/>
                          <w:sz w:val="18"/>
                          <w:szCs w:val="18"/>
                        </w:rPr>
                        <w:t>6000</w:t>
                      </w:r>
                      <w:r>
                        <w:rPr>
                          <w:rFonts w:ascii="Corbel" w:hAnsi="Corbel"/>
                          <w:color w:val="1F497D"/>
                          <w:sz w:val="18"/>
                          <w:szCs w:val="18"/>
                        </w:rPr>
                        <w:br/>
                      </w:r>
                      <w:r w:rsidR="00916AA8">
                        <w:rPr>
                          <w:rFonts w:ascii="Corbel" w:hAnsi="Corbel"/>
                          <w:color w:val="1F497D"/>
                          <w:sz w:val="18"/>
                          <w:szCs w:val="18"/>
                        </w:rPr>
                        <w:t>bsteiner</w:t>
                      </w:r>
                      <w:r w:rsidRPr="006F3A43">
                        <w:rPr>
                          <w:rFonts w:ascii="Corbel" w:hAnsi="Corbel"/>
                          <w:color w:val="1F497D"/>
                          <w:sz w:val="18"/>
                          <w:szCs w:val="18"/>
                        </w:rPr>
                        <w:t>@kkwc.com</w:t>
                      </w:r>
                    </w:p>
                  </w:txbxContent>
                </v:textbox>
              </v:rect>
            </w:pict>
          </mc:Fallback>
        </mc:AlternateContent>
      </w:r>
      <w:r w:rsidRPr="00250803" w:rsidR="00570653">
        <w:rPr>
          <w:noProof/>
        </w:rPr>
        <w:drawing>
          <wp:inline distT="0" distB="0" distL="0" distR="0" wp14:anchorId="3891D576" wp14:editId="4DB6F219">
            <wp:extent cx="3116755" cy="1554480"/>
            <wp:effectExtent l="0" t="0" r="7620" b="7620"/>
            <wp:docPr id="3" name="Picture 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ycer01\Profiles$\rsmith\Desktop\B-I-O-S\CROPPED\B Stein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75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50803" w:rsidR="0070161C" w:rsidP="0070161C" w:rsidRDefault="0070161C">
      <w:pPr>
        <w:spacing w:after="240"/>
        <w:sectPr w:rsidRPr="00250803" w:rsidR="0070161C" w:rsidSect="00631F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2160" w:right="1440" w:bottom="576" w:left="1440" w:header="720" w:footer="576" w:gutter="0"/>
          <w:cols w:space="720"/>
          <w:titlePg/>
          <w:docGrid w:linePitch="360"/>
        </w:sect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3078"/>
        <w:gridCol w:w="6498"/>
      </w:tblGrid>
      <w:tr w:rsidRPr="00250803" w:rsidR="0070161C" w:rsidTr="00CE51DD">
        <w:tc>
          <w:tcPr>
            <w:tcW w:w="9576" w:type="dxa"/>
            <w:gridSpan w:val="2"/>
            <w:shd w:val="clear" w:color="auto" w:fill="auto"/>
          </w:tcPr>
          <w:p w:rsidRPr="00250803" w:rsidR="0070161C" w:rsidP="00B317AE" w:rsidRDefault="0070161C">
            <w:pPr>
              <w:spacing w:after="360"/>
              <w:rPr>
                <w:rFonts w:ascii="Corbel" w:hAnsi="Corbel"/>
                <w:sz w:val="20"/>
                <w:szCs w:val="20"/>
              </w:rPr>
            </w:pPr>
            <w:r w:rsidRPr="00250803">
              <w:rPr>
                <w:rFonts w:ascii="Corbel" w:hAnsi="Corbel"/>
                <w:b/>
                <w:color w:val="1F497D"/>
                <w:sz w:val="20"/>
                <w:szCs w:val="20"/>
              </w:rPr>
              <w:lastRenderedPageBreak/>
              <w:t xml:space="preserve">Practice Areas:  </w:t>
            </w:r>
            <w:r w:rsidRPr="00250803" w:rsidR="00B317AE">
              <w:rPr>
                <w:rFonts w:ascii="Corbel" w:hAnsi="Corbel"/>
                <w:color w:val="1F497D"/>
                <w:sz w:val="20"/>
                <w:szCs w:val="20"/>
              </w:rPr>
              <w:t>Estate Planning a</w:t>
            </w:r>
            <w:r w:rsidRPr="00250803" w:rsidR="00916AA8">
              <w:rPr>
                <w:rFonts w:ascii="Corbel" w:hAnsi="Corbel"/>
                <w:color w:val="1F497D"/>
                <w:sz w:val="20"/>
                <w:szCs w:val="20"/>
              </w:rPr>
              <w:t>nd Administration, Tax</w:t>
            </w:r>
            <w:r w:rsidRPr="00250803" w:rsidR="00B317AE">
              <w:rPr>
                <w:rFonts w:ascii="Corbel" w:hAnsi="Corbel"/>
                <w:color w:val="1F497D"/>
                <w:sz w:val="20"/>
                <w:szCs w:val="20"/>
              </w:rPr>
              <w:t>,</w:t>
            </w:r>
            <w:r w:rsidRPr="00250803" w:rsidR="00916AA8">
              <w:rPr>
                <w:rFonts w:ascii="Corbel" w:hAnsi="Corbel"/>
                <w:color w:val="1F497D"/>
                <w:sz w:val="20"/>
                <w:szCs w:val="20"/>
              </w:rPr>
              <w:t xml:space="preserve"> and </w:t>
            </w:r>
            <w:r w:rsidRPr="00250803" w:rsidR="00B317AE">
              <w:rPr>
                <w:rFonts w:ascii="Corbel" w:hAnsi="Corbel"/>
                <w:color w:val="1F497D"/>
                <w:sz w:val="20"/>
                <w:szCs w:val="20"/>
              </w:rPr>
              <w:t>Business Succession Planning</w:t>
            </w:r>
          </w:p>
        </w:tc>
      </w:tr>
      <w:tr w:rsidRPr="00250803" w:rsidR="0070161C" w:rsidTr="00CE51DD">
        <w:tc>
          <w:tcPr>
            <w:tcW w:w="3078" w:type="dxa"/>
            <w:shd w:val="clear" w:color="auto" w:fill="auto"/>
          </w:tcPr>
          <w:p w:rsidRPr="00250803" w:rsidR="007B1CF6" w:rsidP="007B1CF6" w:rsidRDefault="0070161C">
            <w:pPr>
              <w:spacing w:after="120"/>
              <w:rPr>
                <w:rFonts w:ascii="Corbel" w:hAnsi="Corbel"/>
                <w:color w:val="1F497D"/>
                <w:sz w:val="18"/>
                <w:szCs w:val="20"/>
              </w:rPr>
            </w:pPr>
            <w:r w:rsidRPr="00250803">
              <w:rPr>
                <w:rFonts w:ascii="Corbel" w:hAnsi="Corbel"/>
                <w:b/>
                <w:bCs/>
                <w:color w:val="1F497D"/>
                <w:sz w:val="18"/>
                <w:szCs w:val="20"/>
              </w:rPr>
              <w:t>Bar Admission:</w:t>
            </w:r>
            <w:r w:rsidRPr="00250803">
              <w:rPr>
                <w:rFonts w:ascii="Corbel" w:hAnsi="Corbel"/>
                <w:b/>
                <w:bCs/>
                <w:color w:val="1F497D"/>
                <w:sz w:val="18"/>
                <w:szCs w:val="20"/>
              </w:rPr>
              <w:br/>
            </w:r>
            <w:r w:rsidRPr="00250803" w:rsidR="006D6953">
              <w:rPr>
                <w:rFonts w:ascii="Corbel" w:hAnsi="Corbel"/>
                <w:color w:val="1F497D"/>
                <w:sz w:val="18"/>
                <w:szCs w:val="20"/>
              </w:rPr>
              <w:t>1976, New York, U.S. Tax Court and U.S. Claims Court</w:t>
            </w:r>
          </w:p>
          <w:p w:rsidRPr="00250803" w:rsidR="007B1CF6" w:rsidP="007B1CF6" w:rsidRDefault="006D6953">
            <w:pPr>
              <w:spacing w:after="120"/>
              <w:rPr>
                <w:rFonts w:ascii="Corbel" w:hAnsi="Corbel"/>
                <w:color w:val="1F497D"/>
                <w:sz w:val="18"/>
                <w:szCs w:val="20"/>
              </w:rPr>
            </w:pPr>
            <w:r w:rsidRPr="00250803">
              <w:rPr>
                <w:rFonts w:ascii="Corbel" w:hAnsi="Corbel"/>
                <w:color w:val="1F497D"/>
                <w:sz w:val="18"/>
                <w:szCs w:val="20"/>
              </w:rPr>
              <w:t>1978, New Jersey, Florida and U.S. Distric</w:t>
            </w:r>
            <w:r w:rsidRPr="00250803" w:rsidR="007B1CF6">
              <w:rPr>
                <w:rFonts w:ascii="Corbel" w:hAnsi="Corbel"/>
                <w:color w:val="1F497D"/>
                <w:sz w:val="18"/>
                <w:szCs w:val="20"/>
              </w:rPr>
              <w:t>t Court, District of New Jersey</w:t>
            </w:r>
          </w:p>
          <w:p w:rsidRPr="00250803" w:rsidR="007B1CF6" w:rsidP="007B1CF6" w:rsidRDefault="006D6953">
            <w:pPr>
              <w:spacing w:after="120"/>
              <w:rPr>
                <w:rFonts w:ascii="Corbel" w:hAnsi="Corbel"/>
                <w:color w:val="1F497D"/>
                <w:sz w:val="18"/>
                <w:szCs w:val="20"/>
              </w:rPr>
            </w:pPr>
            <w:r w:rsidRPr="00250803">
              <w:rPr>
                <w:rFonts w:ascii="Corbel" w:hAnsi="Corbel"/>
                <w:color w:val="1F497D"/>
                <w:sz w:val="18"/>
                <w:szCs w:val="20"/>
              </w:rPr>
              <w:t xml:space="preserve">1996, U.S. </w:t>
            </w:r>
            <w:r w:rsidRPr="00250803" w:rsidR="007B1CF6">
              <w:rPr>
                <w:rFonts w:ascii="Corbel" w:hAnsi="Corbel"/>
                <w:color w:val="1F497D"/>
                <w:sz w:val="18"/>
                <w:szCs w:val="20"/>
              </w:rPr>
              <w:t>Court of Appeals, Third Circuit</w:t>
            </w:r>
          </w:p>
          <w:p w:rsidRPr="00250803" w:rsidR="007B1CF6" w:rsidP="007B1CF6" w:rsidRDefault="006D6953">
            <w:pPr>
              <w:spacing w:after="120"/>
              <w:rPr>
                <w:rFonts w:ascii="Corbel" w:hAnsi="Corbel"/>
                <w:color w:val="1F497D"/>
                <w:sz w:val="18"/>
                <w:szCs w:val="20"/>
              </w:rPr>
            </w:pPr>
            <w:r w:rsidRPr="00250803">
              <w:rPr>
                <w:rFonts w:ascii="Corbel" w:hAnsi="Corbel"/>
                <w:color w:val="1F497D"/>
                <w:sz w:val="18"/>
                <w:szCs w:val="20"/>
              </w:rPr>
              <w:t>2005, U.S. District Court for the Southern and Eastern Districts of New York</w:t>
            </w:r>
            <w:r w:rsidRPr="00250803" w:rsidR="0070161C">
              <w:rPr>
                <w:rFonts w:ascii="Corbel" w:hAnsi="Corbel"/>
                <w:color w:val="1F497D"/>
                <w:sz w:val="18"/>
                <w:szCs w:val="20"/>
              </w:rPr>
              <w:br/>
            </w:r>
            <w:r w:rsidRPr="00250803" w:rsidR="0070161C">
              <w:rPr>
                <w:rFonts w:ascii="Corbel" w:hAnsi="Corbel"/>
                <w:color w:val="1F497D"/>
                <w:sz w:val="18"/>
                <w:szCs w:val="20"/>
              </w:rPr>
              <w:br/>
            </w:r>
            <w:r w:rsidRPr="00250803" w:rsidR="0070161C">
              <w:rPr>
                <w:rFonts w:ascii="Corbel" w:hAnsi="Corbel"/>
                <w:b/>
                <w:bCs/>
                <w:color w:val="1F497D"/>
                <w:sz w:val="18"/>
                <w:szCs w:val="20"/>
              </w:rPr>
              <w:t>Education:</w:t>
            </w:r>
            <w:r w:rsidRPr="00250803" w:rsidR="0070161C">
              <w:rPr>
                <w:rFonts w:ascii="Corbel" w:hAnsi="Corbel"/>
                <w:b/>
                <w:bCs/>
                <w:color w:val="1F497D"/>
                <w:sz w:val="18"/>
                <w:szCs w:val="20"/>
              </w:rPr>
              <w:br/>
            </w:r>
            <w:r w:rsidRPr="00250803">
              <w:rPr>
                <w:rFonts w:ascii="Corbel" w:hAnsi="Corbel"/>
                <w:color w:val="1F497D"/>
                <w:sz w:val="18"/>
                <w:szCs w:val="20"/>
              </w:rPr>
              <w:t>New York University (LL.M. in Taxation, 1976)</w:t>
            </w:r>
          </w:p>
          <w:p w:rsidRPr="00250803" w:rsidR="007B1CF6" w:rsidP="007B1CF6" w:rsidRDefault="006D6953">
            <w:pPr>
              <w:spacing w:after="120"/>
              <w:rPr>
                <w:rFonts w:ascii="Corbel" w:hAnsi="Corbel"/>
                <w:color w:val="1F497D"/>
                <w:sz w:val="18"/>
                <w:szCs w:val="20"/>
              </w:rPr>
            </w:pPr>
            <w:r w:rsidRPr="00250803">
              <w:rPr>
                <w:rFonts w:ascii="Corbel" w:hAnsi="Corbel"/>
                <w:color w:val="1F497D"/>
                <w:sz w:val="18"/>
                <w:szCs w:val="20"/>
              </w:rPr>
              <w:t xml:space="preserve">Gerald L. Wallace scholar State University of New York at Buffalo </w:t>
            </w:r>
            <w:r w:rsidRPr="00250803" w:rsidR="007B1CF6">
              <w:rPr>
                <w:rFonts w:ascii="Corbel" w:hAnsi="Corbel"/>
                <w:color w:val="1F497D"/>
                <w:sz w:val="18"/>
                <w:szCs w:val="20"/>
              </w:rPr>
              <w:t xml:space="preserve">(J.D., </w:t>
            </w:r>
            <w:r w:rsidRPr="00250803" w:rsidR="007B1CF6">
              <w:rPr>
                <w:rFonts w:ascii="Corbel" w:hAnsi="Corbel"/>
                <w:i/>
                <w:color w:val="1F497D"/>
                <w:sz w:val="18"/>
                <w:szCs w:val="20"/>
              </w:rPr>
              <w:t>cum laude</w:t>
            </w:r>
            <w:r w:rsidRPr="00250803" w:rsidR="007B1CF6">
              <w:rPr>
                <w:rFonts w:ascii="Corbel" w:hAnsi="Corbel"/>
                <w:color w:val="1F497D"/>
                <w:sz w:val="18"/>
                <w:szCs w:val="20"/>
              </w:rPr>
              <w:t>, 1975)</w:t>
            </w:r>
          </w:p>
          <w:p w:rsidRPr="00250803" w:rsidR="0070161C" w:rsidP="007B1CF6" w:rsidRDefault="006D6953">
            <w:pPr>
              <w:spacing w:after="120"/>
              <w:rPr>
                <w:rFonts w:ascii="Corbel" w:hAnsi="Corbel"/>
                <w:color w:val="1F497D"/>
                <w:sz w:val="18"/>
                <w:szCs w:val="20"/>
              </w:rPr>
            </w:pPr>
            <w:r w:rsidRPr="00250803">
              <w:rPr>
                <w:rFonts w:ascii="Corbel" w:hAnsi="Corbel"/>
                <w:color w:val="1F497D"/>
                <w:sz w:val="18"/>
                <w:szCs w:val="20"/>
              </w:rPr>
              <w:t>Cornell University (A.B., 1972)</w:t>
            </w:r>
          </w:p>
          <w:p w:rsidRPr="00250803" w:rsidR="00C75D5B" w:rsidP="00D56F4D" w:rsidRDefault="00C75D5B">
            <w:pPr>
              <w:rPr>
                <w:sz w:val="18"/>
              </w:rPr>
            </w:pPr>
          </w:p>
        </w:tc>
        <w:tc>
          <w:tcPr>
            <w:tcW w:w="6498" w:type="dxa"/>
            <w:shd w:val="clear" w:color="auto" w:fill="auto"/>
          </w:tcPr>
          <w:p w:rsidRPr="00250803" w:rsidR="00ED12FC" w:rsidP="00D56F4D" w:rsidRDefault="00916AA8">
            <w:pPr>
              <w:spacing w:after="120"/>
              <w:rPr>
                <w:rFonts w:ascii="Corbel" w:hAnsi="Corbel"/>
                <w:sz w:val="20"/>
                <w:szCs w:val="20"/>
              </w:rPr>
            </w:pPr>
            <w:r w:rsidRPr="00250803">
              <w:rPr>
                <w:rFonts w:ascii="Corbel" w:hAnsi="Corbel"/>
                <w:sz w:val="20"/>
                <w:szCs w:val="20"/>
              </w:rPr>
              <w:t>Bruce Steiner has over 40 years of experience in the areas of taxation, estate planning, business succession planning and estate and trust administration. He is a frequent lecturer at continuing education programs for bar associations, CPAs and other professional</w:t>
            </w:r>
            <w:r w:rsidRPr="00250803" w:rsidR="00560C6D">
              <w:rPr>
                <w:rFonts w:ascii="Corbel" w:hAnsi="Corbel"/>
                <w:sz w:val="20"/>
                <w:szCs w:val="20"/>
              </w:rPr>
              <w:t xml:space="preserve"> group</w:t>
            </w:r>
            <w:r w:rsidRPr="00250803">
              <w:rPr>
                <w:rFonts w:ascii="Corbel" w:hAnsi="Corbel"/>
                <w:sz w:val="20"/>
                <w:szCs w:val="20"/>
              </w:rPr>
              <w:t>s. He is a commentator for Leimberg Information Services, Inc., is a member of the editorial advisory board of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Trusts &amp; Estates</w:t>
            </w:r>
            <w:r w:rsidRPr="00250803">
              <w:rPr>
                <w:rFonts w:ascii="Corbel" w:hAnsi="Corbel"/>
                <w:sz w:val="20"/>
                <w:szCs w:val="20"/>
              </w:rPr>
              <w:t>, is a technical advisor for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Ed Slott’s IRA Advisor</w:t>
            </w:r>
            <w:r w:rsidRPr="00250803">
              <w:rPr>
                <w:rFonts w:ascii="Corbel" w:hAnsi="Corbel"/>
                <w:sz w:val="20"/>
                <w:szCs w:val="20"/>
              </w:rPr>
              <w:t>, and has written numerous articles for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Estate Planning</w:t>
            </w:r>
            <w:r w:rsidRPr="00250803">
              <w:rPr>
                <w:rFonts w:ascii="Corbel" w:hAnsi="Corbel"/>
                <w:sz w:val="20"/>
                <w:szCs w:val="20"/>
              </w:rPr>
              <w:t>, BNA Tax Management’s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Estates, Gifts &amp; Trusts Journal</w:t>
            </w:r>
            <w:r w:rsidRPr="00250803">
              <w:rPr>
                <w:rFonts w:ascii="Corbel" w:hAnsi="Corbel"/>
                <w:sz w:val="20"/>
                <w:szCs w:val="20"/>
              </w:rPr>
              <w:t>,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Trusts &amp; Estates</w:t>
            </w:r>
            <w:r w:rsidRPr="00250803">
              <w:rPr>
                <w:rFonts w:ascii="Corbel" w:hAnsi="Corbel"/>
                <w:sz w:val="20"/>
                <w:szCs w:val="20"/>
              </w:rPr>
              <w:t>, the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Journal of Taxation</w:t>
            </w:r>
            <w:r w:rsidRPr="00250803">
              <w:rPr>
                <w:rFonts w:ascii="Corbel" w:hAnsi="Corbel"/>
                <w:sz w:val="20"/>
                <w:szCs w:val="20"/>
              </w:rPr>
              <w:t>,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Probate &amp; Property</w:t>
            </w:r>
            <w:r w:rsidRPr="00250803">
              <w:rPr>
                <w:rFonts w:ascii="Corbel" w:hAnsi="Corbel"/>
                <w:sz w:val="20"/>
                <w:szCs w:val="20"/>
              </w:rPr>
              <w:t>,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TAXES</w:t>
            </w:r>
            <w:r w:rsidRPr="00250803">
              <w:rPr>
                <w:rFonts w:ascii="Corbel" w:hAnsi="Corbel"/>
                <w:sz w:val="20"/>
                <w:szCs w:val="20"/>
              </w:rPr>
              <w:t>, the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CPA Journal</w:t>
            </w:r>
            <w:r w:rsidRPr="00250803">
              <w:rPr>
                <w:rFonts w:ascii="Corbel" w:hAnsi="Corbel"/>
                <w:sz w:val="20"/>
                <w:szCs w:val="20"/>
              </w:rPr>
              <w:t>, the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CLU Journal</w:t>
            </w:r>
            <w:r w:rsidRPr="00250803">
              <w:rPr>
                <w:rFonts w:ascii="Corbel" w:hAnsi="Corbel"/>
                <w:sz w:val="20"/>
                <w:szCs w:val="20"/>
              </w:rPr>
              <w:t> and other professional journals. Bruce has been quoted in various publications including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CNBC</w:t>
            </w:r>
            <w:r w:rsidRPr="00250803">
              <w:rPr>
                <w:rFonts w:ascii="Corbel" w:hAnsi="Corbel"/>
                <w:sz w:val="20"/>
                <w:szCs w:val="20"/>
              </w:rPr>
              <w:t>,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Fox Business</w:t>
            </w:r>
            <w:r w:rsidRPr="00250803">
              <w:rPr>
                <w:rFonts w:ascii="Corbel" w:hAnsi="Corbel"/>
                <w:sz w:val="20"/>
                <w:szCs w:val="20"/>
              </w:rPr>
              <w:t>,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Forbes</w:t>
            </w:r>
            <w:r w:rsidRPr="00250803">
              <w:rPr>
                <w:rFonts w:ascii="Corbel" w:hAnsi="Corbel"/>
                <w:sz w:val="20"/>
                <w:szCs w:val="20"/>
              </w:rPr>
              <w:t>,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The New York Times</w:t>
            </w:r>
            <w:r w:rsidRPr="00250803">
              <w:rPr>
                <w:rFonts w:ascii="Corbel" w:hAnsi="Corbel"/>
                <w:sz w:val="20"/>
                <w:szCs w:val="20"/>
              </w:rPr>
              <w:t>,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Wall Street Journal</w:t>
            </w:r>
            <w:r w:rsidRPr="00250803">
              <w:rPr>
                <w:rFonts w:ascii="Corbel" w:hAnsi="Corbel"/>
                <w:sz w:val="20"/>
                <w:szCs w:val="20"/>
              </w:rPr>
              <w:t>,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Daily Tax Report</w:t>
            </w:r>
            <w:r w:rsidRPr="00250803">
              <w:rPr>
                <w:rFonts w:ascii="Corbel" w:hAnsi="Corbel"/>
                <w:sz w:val="20"/>
                <w:szCs w:val="20"/>
              </w:rPr>
              <w:t>,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Lawyers Weekly</w:t>
            </w:r>
            <w:r w:rsidRPr="00250803">
              <w:rPr>
                <w:rFonts w:ascii="Corbel" w:hAnsi="Corbel"/>
                <w:sz w:val="20"/>
                <w:szCs w:val="20"/>
              </w:rPr>
              <w:t>,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Bloomberg’s Wealth Manager</w:t>
            </w:r>
            <w:r w:rsidRPr="00250803">
              <w:rPr>
                <w:rFonts w:ascii="Corbel" w:hAnsi="Corbel"/>
                <w:sz w:val="20"/>
                <w:szCs w:val="20"/>
              </w:rPr>
              <w:t>,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Financial Planning</w:t>
            </w:r>
            <w:r w:rsidRPr="00250803">
              <w:rPr>
                <w:rFonts w:ascii="Corbel" w:hAnsi="Corbel"/>
                <w:sz w:val="20"/>
                <w:szCs w:val="20"/>
              </w:rPr>
              <w:t>,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Kiplinger’s Retirement Report</w:t>
            </w:r>
            <w:r w:rsidRPr="00250803">
              <w:rPr>
                <w:rFonts w:ascii="Corbel" w:hAnsi="Corbel"/>
                <w:sz w:val="20"/>
                <w:szCs w:val="20"/>
              </w:rPr>
              <w:t>,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USA Today</w:t>
            </w:r>
            <w:r w:rsidRPr="00250803">
              <w:rPr>
                <w:rFonts w:ascii="Corbel" w:hAnsi="Corbel"/>
                <w:sz w:val="20"/>
                <w:szCs w:val="20"/>
              </w:rPr>
              <w:t>,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Newsday</w:t>
            </w:r>
            <w:r w:rsidRPr="00250803">
              <w:rPr>
                <w:rFonts w:ascii="Corbel" w:hAnsi="Corbel"/>
                <w:sz w:val="20"/>
                <w:szCs w:val="20"/>
              </w:rPr>
              <w:t>, the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New York Post</w:t>
            </w:r>
            <w:r w:rsidRPr="00250803">
              <w:rPr>
                <w:rFonts w:ascii="Corbel" w:hAnsi="Corbel"/>
                <w:sz w:val="20"/>
                <w:szCs w:val="20"/>
              </w:rPr>
              <w:t>, the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Naples Daily News,</w:t>
            </w:r>
            <w:r w:rsidRPr="00250803">
              <w:rPr>
                <w:rFonts w:ascii="Corbel" w:hAnsi="Corbel"/>
                <w:sz w:val="20"/>
                <w:szCs w:val="20"/>
              </w:rPr>
              <w:t> </w:t>
            </w:r>
            <w:r w:rsidRPr="00250803">
              <w:rPr>
                <w:rFonts w:ascii="Corbel" w:hAnsi="Corbel"/>
                <w:i/>
                <w:iCs/>
                <w:sz w:val="20"/>
                <w:szCs w:val="20"/>
              </w:rPr>
              <w:t>Individual Investor</w:t>
            </w:r>
            <w:r w:rsidRPr="00250803">
              <w:rPr>
                <w:rFonts w:ascii="Corbel" w:hAnsi="Corbel"/>
                <w:sz w:val="20"/>
                <w:szCs w:val="20"/>
              </w:rPr>
              <w:t xml:space="preserve">, TheStreet.com, </w:t>
            </w:r>
            <w:r w:rsidRPr="00250803" w:rsidR="001E61C7">
              <w:rPr>
                <w:rFonts w:ascii="Corbel" w:hAnsi="Corbel"/>
                <w:sz w:val="20"/>
                <w:szCs w:val="20"/>
              </w:rPr>
              <w:t xml:space="preserve">Bloomberg, CBS News, Observador </w:t>
            </w:r>
            <w:r w:rsidRPr="00250803">
              <w:rPr>
                <w:rFonts w:ascii="Corbel" w:hAnsi="Corbel"/>
                <w:sz w:val="20"/>
                <w:szCs w:val="20"/>
              </w:rPr>
              <w:t>and Dow Jones (formerly CBS) Market Watch. Bruce has served on the professional advisory boards of several major charitable organizations and was named a New York Super Lawyer every year since 2010</w:t>
            </w:r>
            <w:r w:rsidRPr="00250803" w:rsidR="00560C6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250803" w:rsidR="00560C6D">
              <w:rPr>
                <w:rFonts w:ascii="Corbel" w:hAnsi="Corbel" w:eastAsia="Times New Roman" w:cs="Arial"/>
                <w:sz w:val="20"/>
                <w:szCs w:val="20"/>
              </w:rPr>
              <w:t>and was selected to Best Lawyers of New York for 2018 and 2019</w:t>
            </w:r>
            <w:r w:rsidRPr="00250803">
              <w:rPr>
                <w:rFonts w:ascii="Corbel" w:hAnsi="Corbel"/>
                <w:sz w:val="20"/>
                <w:szCs w:val="20"/>
              </w:rPr>
              <w:t>.</w:t>
            </w:r>
          </w:p>
        </w:tc>
      </w:tr>
    </w:tbl>
    <w:p w:rsidRPr="00250803" w:rsidR="00560C6D" w:rsidP="00560C6D" w:rsidRDefault="00560C6D">
      <w:pPr>
        <w:shd w:val="clear" w:color="auto" w:fill="FFFFFF"/>
        <w:spacing w:before="150" w:after="150"/>
        <w:outlineLvl w:val="0"/>
        <w:rPr>
          <w:rFonts w:eastAsia="Times New Roman"/>
          <w:b/>
          <w:bCs/>
          <w:i/>
          <w:iCs/>
          <w:caps/>
          <w:kern w:val="36"/>
        </w:rPr>
      </w:pPr>
      <w:r w:rsidRPr="00250803">
        <w:rPr>
          <w:rFonts w:eastAsia="Times New Roman"/>
          <w:b/>
          <w:bCs/>
          <w:i/>
          <w:iCs/>
          <w:caps/>
          <w:kern w:val="36"/>
        </w:rPr>
        <w:t>LECTURER</w:t>
      </w:r>
    </w:p>
    <w:p w:rsidRPr="00250803" w:rsidR="00CB39B8" w:rsidP="00560C6D" w:rsidRDefault="00560C6D">
      <w:pPr>
        <w:rPr>
          <w:rFonts w:eastAsia="Times New Roman"/>
          <w:sz w:val="21"/>
          <w:szCs w:val="21"/>
        </w:rPr>
      </w:pPr>
      <w:r w:rsidRPr="00250803">
        <w:rPr>
          <w:rFonts w:eastAsia="Times New Roman"/>
          <w:sz w:val="21"/>
          <w:szCs w:val="21"/>
        </w:rPr>
        <w:t>American Bar Association</w:t>
      </w:r>
    </w:p>
    <w:p w:rsidRPr="00250803" w:rsidR="00694D4E" w:rsidP="00560C6D" w:rsidRDefault="00CB39B8">
      <w:pPr>
        <w:rPr>
          <w:rFonts w:eastAsia="Times New Roman"/>
          <w:sz w:val="21"/>
          <w:szCs w:val="21"/>
        </w:rPr>
      </w:pPr>
      <w:r w:rsidRPr="00250803">
        <w:rPr>
          <w:rFonts w:eastAsia="Times New Roman"/>
          <w:sz w:val="21"/>
          <w:szCs w:val="21"/>
        </w:rPr>
        <w:t>The American College</w:t>
      </w:r>
      <w:r w:rsidRPr="00250803" w:rsidR="00560C6D">
        <w:rPr>
          <w:rFonts w:eastAsia="Times New Roman"/>
          <w:sz w:val="21"/>
          <w:szCs w:val="21"/>
        </w:rPr>
        <w:br/>
        <w:t>Bank of America</w:t>
      </w:r>
      <w:r w:rsidRPr="00250803" w:rsidR="00560C6D">
        <w:rPr>
          <w:rFonts w:eastAsia="Times New Roman"/>
          <w:sz w:val="21"/>
          <w:szCs w:val="21"/>
        </w:rPr>
        <w:br/>
        <w:t>Baruch College School of Continuing Education</w:t>
      </w:r>
      <w:r w:rsidRPr="00250803" w:rsidR="00560C6D">
        <w:rPr>
          <w:rFonts w:eastAsia="Times New Roman"/>
          <w:sz w:val="21"/>
          <w:szCs w:val="21"/>
        </w:rPr>
        <w:br/>
        <w:t>Bergen Tax Study Group</w:t>
      </w:r>
      <w:r w:rsidRPr="00250803" w:rsidR="00560C6D">
        <w:rPr>
          <w:rFonts w:eastAsia="Times New Roman"/>
          <w:sz w:val="21"/>
          <w:szCs w:val="21"/>
        </w:rPr>
        <w:br/>
        <w:t>Bloomberg BNA Tax Management</w:t>
      </w:r>
      <w:r w:rsidRPr="00250803" w:rsidR="00560C6D">
        <w:rPr>
          <w:rFonts w:eastAsia="Times New Roman"/>
          <w:sz w:val="21"/>
          <w:szCs w:val="21"/>
        </w:rPr>
        <w:br/>
        <w:t>Central New Jersey Estate Planning Council</w:t>
      </w:r>
      <w:r w:rsidRPr="00250803" w:rsidR="00560C6D">
        <w:rPr>
          <w:rFonts w:eastAsia="Times New Roman"/>
          <w:sz w:val="21"/>
          <w:szCs w:val="21"/>
        </w:rPr>
        <w:br/>
        <w:t>C.W. Post Tax Institute</w:t>
      </w:r>
      <w:r w:rsidRPr="00250803" w:rsidR="00560C6D">
        <w:rPr>
          <w:rFonts w:eastAsia="Times New Roman"/>
          <w:sz w:val="21"/>
          <w:szCs w:val="21"/>
        </w:rPr>
        <w:br/>
        <w:t>Committee of Banking Institutions on Taxation</w:t>
      </w:r>
      <w:r w:rsidRPr="00250803" w:rsidR="00560C6D">
        <w:rPr>
          <w:rFonts w:eastAsia="Times New Roman"/>
          <w:sz w:val="21"/>
          <w:szCs w:val="21"/>
        </w:rPr>
        <w:br/>
        <w:t>Consumers Union</w:t>
      </w:r>
      <w:r w:rsidRPr="00250803" w:rsidR="00560C6D">
        <w:rPr>
          <w:rFonts w:eastAsia="Times New Roman"/>
          <w:sz w:val="21"/>
          <w:szCs w:val="21"/>
        </w:rPr>
        <w:br/>
        <w:t>Cornell University</w:t>
      </w:r>
      <w:r w:rsidRPr="00250803" w:rsidR="00560C6D">
        <w:rPr>
          <w:rFonts w:eastAsia="Times New Roman"/>
          <w:sz w:val="21"/>
          <w:szCs w:val="21"/>
        </w:rPr>
        <w:br/>
        <w:t>Essex County Bar Association</w:t>
      </w:r>
      <w:r w:rsidRPr="00250803" w:rsidR="00560C6D">
        <w:rPr>
          <w:rFonts w:eastAsia="Times New Roman"/>
          <w:sz w:val="21"/>
          <w:szCs w:val="21"/>
        </w:rPr>
        <w:br/>
        <w:t>Fairleigh Dickinson Tax Institute</w:t>
      </w:r>
      <w:r w:rsidRPr="00250803" w:rsidR="00560C6D">
        <w:rPr>
          <w:rFonts w:eastAsia="Times New Roman"/>
          <w:sz w:val="21"/>
          <w:szCs w:val="21"/>
        </w:rPr>
        <w:br/>
        <w:t>Financial Planning Association</w:t>
      </w:r>
    </w:p>
    <w:p w:rsidRPr="00250803" w:rsidR="00694D4E" w:rsidP="00560C6D" w:rsidRDefault="00694D4E">
      <w:pPr>
        <w:rPr>
          <w:rFonts w:eastAsia="Times New Roman"/>
          <w:sz w:val="21"/>
          <w:szCs w:val="21"/>
        </w:rPr>
      </w:pPr>
      <w:r w:rsidRPr="00250803">
        <w:rPr>
          <w:rFonts w:eastAsia="Times New Roman"/>
          <w:sz w:val="21"/>
          <w:szCs w:val="21"/>
        </w:rPr>
        <w:lastRenderedPageBreak/>
        <w:t>The Florida Bar</w:t>
      </w:r>
      <w:r w:rsidRPr="00250803" w:rsidR="00560C6D">
        <w:rPr>
          <w:rFonts w:eastAsia="Times New Roman"/>
          <w:sz w:val="21"/>
          <w:szCs w:val="21"/>
        </w:rPr>
        <w:br/>
        <w:t>Greater New Jersey Estate Planning Council</w:t>
      </w:r>
      <w:r w:rsidRPr="00250803" w:rsidR="00560C6D">
        <w:rPr>
          <w:rFonts w:eastAsia="Times New Roman"/>
          <w:sz w:val="21"/>
          <w:szCs w:val="21"/>
        </w:rPr>
        <w:br/>
        <w:t>Hudson Valley Bank</w:t>
      </w:r>
      <w:r w:rsidRPr="00250803" w:rsidR="00560C6D">
        <w:rPr>
          <w:rFonts w:eastAsia="Times New Roman"/>
          <w:color w:val="7E7E7E"/>
          <w:sz w:val="21"/>
          <w:szCs w:val="21"/>
        </w:rPr>
        <w:br/>
      </w:r>
      <w:r w:rsidRPr="00250803" w:rsidR="00560C6D">
        <w:rPr>
          <w:rFonts w:eastAsia="Times New Roman"/>
          <w:sz w:val="21"/>
          <w:szCs w:val="21"/>
        </w:rPr>
        <w:t>Hudson Valley Estate Planning Council</w:t>
      </w:r>
      <w:r w:rsidRPr="00250803" w:rsidR="00560C6D">
        <w:rPr>
          <w:rFonts w:eastAsia="Times New Roman"/>
          <w:sz w:val="21"/>
          <w:szCs w:val="21"/>
        </w:rPr>
        <w:br/>
        <w:t>JP Morgan Chase Bank</w:t>
      </w:r>
      <w:r w:rsidRPr="00250803" w:rsidR="00560C6D">
        <w:rPr>
          <w:rFonts w:eastAsia="Times New Roman"/>
          <w:sz w:val="21"/>
          <w:szCs w:val="21"/>
        </w:rPr>
        <w:br/>
        <w:t>Lawline</w:t>
      </w:r>
    </w:p>
    <w:p w:rsidRPr="00250803" w:rsidR="00694D4E" w:rsidP="00560C6D" w:rsidRDefault="00694D4E">
      <w:pPr>
        <w:rPr>
          <w:rFonts w:eastAsia="Times New Roman"/>
          <w:sz w:val="21"/>
          <w:szCs w:val="21"/>
        </w:rPr>
      </w:pPr>
      <w:r w:rsidRPr="00250803">
        <w:rPr>
          <w:rFonts w:eastAsia="Times New Roman"/>
          <w:sz w:val="21"/>
          <w:szCs w:val="21"/>
        </w:rPr>
        <w:t>Leimberg Webinars</w:t>
      </w:r>
      <w:r w:rsidRPr="00250803" w:rsidR="00560C6D">
        <w:rPr>
          <w:rFonts w:eastAsia="Times New Roman"/>
          <w:sz w:val="21"/>
          <w:szCs w:val="21"/>
        </w:rPr>
        <w:br/>
        <w:t>Lighthouse</w:t>
      </w:r>
      <w:r w:rsidRPr="00250803" w:rsidR="00560C6D">
        <w:rPr>
          <w:rFonts w:eastAsia="Times New Roman"/>
          <w:sz w:val="21"/>
          <w:szCs w:val="21"/>
        </w:rPr>
        <w:br/>
        <w:t>Merrill Lynch</w:t>
      </w:r>
      <w:r w:rsidRPr="00250803" w:rsidR="00560C6D">
        <w:rPr>
          <w:rFonts w:eastAsia="Times New Roman"/>
          <w:sz w:val="21"/>
          <w:szCs w:val="21"/>
        </w:rPr>
        <w:br/>
        <w:t>Metropolitan Life Insurance Company</w:t>
      </w:r>
      <w:r w:rsidRPr="00250803" w:rsidR="00560C6D">
        <w:rPr>
          <w:rFonts w:eastAsia="Times New Roman"/>
          <w:sz w:val="21"/>
          <w:szCs w:val="21"/>
        </w:rPr>
        <w:br/>
        <w:t>Middlesex County Bar Association</w:t>
      </w:r>
      <w:r w:rsidRPr="00250803" w:rsidR="00560C6D">
        <w:rPr>
          <w:rFonts w:eastAsia="Times New Roman"/>
          <w:sz w:val="21"/>
          <w:szCs w:val="21"/>
        </w:rPr>
        <w:br/>
        <w:t>Middlesex-Somerset Estate Planning Council</w:t>
      </w:r>
      <w:r w:rsidRPr="00250803" w:rsidR="00560C6D">
        <w:rPr>
          <w:rFonts w:eastAsia="Times New Roman"/>
          <w:sz w:val="21"/>
          <w:szCs w:val="21"/>
        </w:rPr>
        <w:br/>
        <w:t>National Association of Personal Financial Advisors</w:t>
      </w:r>
      <w:r w:rsidRPr="00250803" w:rsidR="00560C6D">
        <w:rPr>
          <w:rFonts w:eastAsia="Times New Roman"/>
          <w:sz w:val="21"/>
          <w:szCs w:val="21"/>
        </w:rPr>
        <w:br/>
        <w:t>New Jersey Institute for Continuing Legal Education</w:t>
      </w:r>
      <w:r w:rsidRPr="00250803" w:rsidR="00560C6D">
        <w:rPr>
          <w:rFonts w:eastAsia="Times New Roman"/>
          <w:sz w:val="21"/>
          <w:szCs w:val="21"/>
        </w:rPr>
        <w:br/>
        <w:t>New Jersey State Society of Certified Public Accountants</w:t>
      </w:r>
      <w:r w:rsidRPr="00250803" w:rsidR="00560C6D">
        <w:rPr>
          <w:rFonts w:eastAsia="Times New Roman"/>
          <w:sz w:val="21"/>
          <w:szCs w:val="21"/>
        </w:rPr>
        <w:br/>
        <w:t>New York City Bar Association</w:t>
      </w:r>
      <w:r w:rsidRPr="00250803" w:rsidR="00560C6D">
        <w:rPr>
          <w:rFonts w:eastAsia="Times New Roman"/>
          <w:sz w:val="21"/>
          <w:szCs w:val="21"/>
        </w:rPr>
        <w:br/>
        <w:t>New York City Estate Planning Council</w:t>
      </w:r>
      <w:r w:rsidRPr="00250803" w:rsidR="00560C6D">
        <w:rPr>
          <w:rFonts w:eastAsia="Times New Roman"/>
          <w:sz w:val="21"/>
          <w:szCs w:val="21"/>
        </w:rPr>
        <w:br/>
        <w:t>New York State Bar Association</w:t>
      </w:r>
      <w:r w:rsidRPr="00250803" w:rsidR="00560C6D">
        <w:rPr>
          <w:rFonts w:eastAsia="Times New Roman"/>
          <w:sz w:val="21"/>
          <w:szCs w:val="21"/>
        </w:rPr>
        <w:br/>
        <w:t>New York State Society of Certified Public Accountants</w:t>
      </w:r>
    </w:p>
    <w:p w:rsidRPr="00250803" w:rsidR="00560C6D" w:rsidP="00560C6D" w:rsidRDefault="00694D4E">
      <w:pPr>
        <w:rPr>
          <w:rFonts w:eastAsia="Times New Roman"/>
        </w:rPr>
      </w:pPr>
      <w:r w:rsidRPr="00250803">
        <w:rPr>
          <w:rFonts w:eastAsia="Times New Roman"/>
          <w:sz w:val="21"/>
          <w:szCs w:val="21"/>
        </w:rPr>
        <w:t>New York Tax Study Group</w:t>
      </w:r>
      <w:r w:rsidRPr="00250803" w:rsidR="00560C6D">
        <w:rPr>
          <w:rFonts w:eastAsia="Times New Roman"/>
          <w:sz w:val="21"/>
          <w:szCs w:val="21"/>
        </w:rPr>
        <w:br/>
        <w:t>New York University School of Continuing Education</w:t>
      </w:r>
      <w:r w:rsidRPr="00250803" w:rsidR="00560C6D">
        <w:rPr>
          <w:rFonts w:eastAsia="Times New Roman"/>
          <w:sz w:val="21"/>
          <w:szCs w:val="21"/>
        </w:rPr>
        <w:br/>
        <w:t>Northern New Jersey Estate Planning Council</w:t>
      </w:r>
      <w:r w:rsidRPr="00250803" w:rsidR="00560C6D">
        <w:rPr>
          <w:rFonts w:eastAsia="Times New Roman"/>
          <w:sz w:val="21"/>
          <w:szCs w:val="21"/>
        </w:rPr>
        <w:br/>
        <w:t>Rockland County Estate Planning Council</w:t>
      </w:r>
      <w:r w:rsidRPr="00250803" w:rsidR="00560C6D">
        <w:rPr>
          <w:rFonts w:eastAsia="Times New Roman"/>
          <w:sz w:val="21"/>
          <w:szCs w:val="21"/>
        </w:rPr>
        <w:br/>
        <w:t>Seattle Estate Planning Council</w:t>
      </w:r>
      <w:r w:rsidRPr="00250803" w:rsidR="00560C6D">
        <w:rPr>
          <w:rFonts w:eastAsia="Times New Roman"/>
          <w:sz w:val="21"/>
          <w:szCs w:val="21"/>
        </w:rPr>
        <w:br/>
        <w:t>Society of Financial Service Professionals</w:t>
      </w:r>
      <w:r w:rsidRPr="00250803" w:rsidR="00560C6D">
        <w:rPr>
          <w:rFonts w:eastAsia="Times New Roman"/>
          <w:sz w:val="21"/>
          <w:szCs w:val="21"/>
        </w:rPr>
        <w:br/>
        <w:t>Strafford</w:t>
      </w:r>
      <w:r w:rsidRPr="00250803" w:rsidR="00560C6D">
        <w:rPr>
          <w:rFonts w:eastAsia="Times New Roman"/>
          <w:sz w:val="21"/>
          <w:szCs w:val="21"/>
        </w:rPr>
        <w:br/>
        <w:t>University of Washington School of Law</w:t>
      </w:r>
      <w:r w:rsidRPr="00250803" w:rsidR="00560C6D">
        <w:rPr>
          <w:rFonts w:eastAsia="Times New Roman"/>
          <w:sz w:val="21"/>
          <w:szCs w:val="21"/>
        </w:rPr>
        <w:br/>
        <w:t>Wachovia Bank</w:t>
      </w:r>
      <w:r w:rsidRPr="00250803" w:rsidR="00560C6D">
        <w:rPr>
          <w:rFonts w:eastAsia="Times New Roman"/>
          <w:sz w:val="21"/>
          <w:szCs w:val="21"/>
        </w:rPr>
        <w:br/>
        <w:t>Westchester Estate Planning Council</w:t>
      </w:r>
      <w:r w:rsidRPr="00250803" w:rsidR="00560C6D">
        <w:rPr>
          <w:rFonts w:eastAsia="Times New Roman"/>
          <w:sz w:val="21"/>
          <w:szCs w:val="21"/>
        </w:rPr>
        <w:br/>
        <w:t>Western Connecticut Estate Planning Council</w:t>
      </w:r>
    </w:p>
    <w:p w:rsidRPr="00250803" w:rsidR="00560C6D" w:rsidP="00560C6D" w:rsidRDefault="00560C6D">
      <w:pPr>
        <w:shd w:val="clear" w:color="auto" w:fill="FFFFFF"/>
        <w:spacing w:before="150" w:after="150"/>
        <w:outlineLvl w:val="0"/>
        <w:rPr>
          <w:rFonts w:eastAsia="Times New Roman"/>
          <w:b/>
          <w:bCs/>
          <w:i/>
          <w:iCs/>
          <w:caps/>
          <w:kern w:val="36"/>
        </w:rPr>
      </w:pPr>
      <w:r w:rsidRPr="00250803">
        <w:rPr>
          <w:rFonts w:eastAsia="Times New Roman"/>
          <w:b/>
          <w:bCs/>
          <w:i/>
          <w:iCs/>
          <w:caps/>
          <w:kern w:val="36"/>
        </w:rPr>
        <w:t>PUBLICATIONS</w:t>
      </w:r>
    </w:p>
    <w:p w:rsidRPr="00250803" w:rsidR="00694D4E" w:rsidP="00560C6D" w:rsidRDefault="00213597">
      <w:hyperlink w:history="1" r:id="rId15">
        <w:r w:rsidRPr="00250803" w:rsidR="00694D4E">
          <w:rPr>
            <w:rStyle w:val="Hyperlink"/>
            <w:b/>
            <w:bCs/>
            <w:color w:val="196DB6"/>
            <w:sz w:val="21"/>
            <w:szCs w:val="21"/>
            <w:u w:val="none"/>
          </w:rPr>
          <w:t>Decanting Trusts to Remove Unwanted Beneficiaries</w:t>
        </w:r>
      </w:hyperlink>
      <w:r w:rsidRPr="00250803" w:rsidR="00694D4E">
        <w:rPr>
          <w:color w:val="5C5C5C"/>
          <w:sz w:val="21"/>
          <w:szCs w:val="21"/>
        </w:rPr>
        <w:br/>
      </w:r>
      <w:r w:rsidRPr="00250803" w:rsidR="00694D4E">
        <w:rPr>
          <w:rStyle w:val="Emphasis"/>
          <w:sz w:val="21"/>
          <w:szCs w:val="21"/>
        </w:rPr>
        <w:t>Trusts &amp; Estates</w:t>
      </w:r>
      <w:r w:rsidRPr="00250803" w:rsidR="00694D4E">
        <w:rPr>
          <w:sz w:val="21"/>
          <w:szCs w:val="21"/>
        </w:rPr>
        <w:t>, June 2019</w:t>
      </w:r>
    </w:p>
    <w:p w:rsidRPr="00250803" w:rsidR="00694D4E" w:rsidP="00560C6D" w:rsidRDefault="00694D4E"/>
    <w:p w:rsidRPr="00250803" w:rsidR="00610335" w:rsidP="00560C6D" w:rsidRDefault="00213597">
      <w:hyperlink w:history="1" r:id="rId16">
        <w:r w:rsidRPr="00250803" w:rsidR="00610335">
          <w:rPr>
            <w:rStyle w:val="Hyperlink"/>
            <w:b/>
            <w:bCs/>
            <w:color w:val="196DB6"/>
            <w:sz w:val="21"/>
            <w:szCs w:val="21"/>
            <w:u w:val="none"/>
          </w:rPr>
          <w:t>Celebrity Estate Planning: Misfires of the Rich and Famous II - Co-authored by Jessica Galligan Goldsmith, David Y. Choi, Shaina S. Kamen, Gerry Joyce, Christiana M. Lazo, Alison Silverman</w:t>
        </w:r>
      </w:hyperlink>
      <w:r w:rsidRPr="00250803" w:rsidR="00610335">
        <w:rPr>
          <w:rFonts w:eastAsia="Times New Roman"/>
          <w:color w:val="7E7E7E"/>
          <w:sz w:val="21"/>
          <w:szCs w:val="21"/>
        </w:rPr>
        <w:br/>
      </w:r>
      <w:r w:rsidRPr="00250803" w:rsidR="00610335">
        <w:rPr>
          <w:rFonts w:eastAsia="Times New Roman"/>
          <w:i/>
          <w:iCs/>
          <w:sz w:val="21"/>
          <w:szCs w:val="21"/>
        </w:rPr>
        <w:t>Probate &amp; Property</w:t>
      </w:r>
      <w:r w:rsidRPr="00250803" w:rsidR="00610335">
        <w:rPr>
          <w:rFonts w:eastAsia="Times New Roman"/>
          <w:sz w:val="21"/>
          <w:szCs w:val="21"/>
        </w:rPr>
        <w:t>, May/June 2019</w:t>
      </w:r>
    </w:p>
    <w:p w:rsidRPr="00250803" w:rsidR="00610335" w:rsidP="00560C6D" w:rsidRDefault="00610335"/>
    <w:p w:rsidRPr="00250803" w:rsidR="00560C6D" w:rsidP="00560C6D" w:rsidRDefault="00213597">
      <w:pPr>
        <w:rPr>
          <w:rFonts w:eastAsia="Times New Roman"/>
          <w:b/>
          <w:bCs/>
          <w:color w:val="7E7E7E"/>
          <w:sz w:val="21"/>
          <w:szCs w:val="21"/>
        </w:rPr>
      </w:pPr>
      <w:hyperlink w:history="1" r:id="rId17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Tax Reform Opens a Window for Roth Conversions</w:t>
        </w:r>
      </w:hyperlink>
    </w:p>
    <w:p w:rsidRPr="00250803" w:rsidR="00560C6D" w:rsidP="00560C6D" w:rsidRDefault="00560C6D">
      <w:pPr>
        <w:rPr>
          <w:rFonts w:eastAsia="Times New Roman"/>
          <w:color w:val="7E7E7E"/>
          <w:sz w:val="21"/>
          <w:szCs w:val="21"/>
        </w:rPr>
      </w:pPr>
      <w:r w:rsidRPr="00250803">
        <w:rPr>
          <w:rFonts w:eastAsia="Times New Roman"/>
          <w:i/>
          <w:iCs/>
          <w:sz w:val="21"/>
          <w:szCs w:val="21"/>
        </w:rPr>
        <w:t>Trusts &amp; Estates</w:t>
      </w:r>
      <w:r w:rsidRPr="00250803">
        <w:rPr>
          <w:rFonts w:eastAsia="Times New Roman"/>
          <w:sz w:val="21"/>
          <w:szCs w:val="21"/>
        </w:rPr>
        <w:t>, June 2018</w:t>
      </w:r>
    </w:p>
    <w:p w:rsidRPr="00250803" w:rsidR="00560C6D" w:rsidP="00560C6D" w:rsidRDefault="00560C6D">
      <w:pPr>
        <w:rPr>
          <w:rFonts w:eastAsia="Times New Roman"/>
          <w:color w:val="7E7E7E"/>
          <w:sz w:val="21"/>
          <w:szCs w:val="21"/>
        </w:rPr>
      </w:pPr>
    </w:p>
    <w:p w:rsidRPr="00250803" w:rsidR="00560C6D" w:rsidP="00560C6D" w:rsidRDefault="00213597">
      <w:pPr>
        <w:rPr>
          <w:rFonts w:eastAsia="Times New Roman"/>
          <w:color w:val="7E7E7E"/>
          <w:sz w:val="21"/>
          <w:szCs w:val="21"/>
        </w:rPr>
      </w:pPr>
      <w:hyperlink w:history="1" r:id="rId18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Celebrity Estate Planning: Misfires of the Rich and Famous - Co-authored by Jessica Galligan Goldsmith, Shaina S. Kamen, Christiana M. Lazo, and David J. Posner</w:t>
        </w:r>
      </w:hyperlink>
      <w:r w:rsidRPr="00250803" w:rsidR="00560C6D">
        <w:rPr>
          <w:rFonts w:eastAsia="Times New Roman"/>
          <w:color w:val="7E7E7E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Probate &amp; Property</w:t>
      </w:r>
      <w:r w:rsidRPr="00250803" w:rsidR="00560C6D">
        <w:rPr>
          <w:rFonts w:eastAsia="Times New Roman"/>
          <w:sz w:val="21"/>
          <w:szCs w:val="21"/>
        </w:rPr>
        <w:t>, July/August 2018</w:t>
      </w:r>
    </w:p>
    <w:p w:rsidRPr="00250803" w:rsidR="00560C6D" w:rsidP="00560C6D" w:rsidRDefault="00560C6D">
      <w:pPr>
        <w:rPr>
          <w:rFonts w:eastAsia="Times New Roman"/>
          <w:color w:val="7E7E7E"/>
          <w:sz w:val="21"/>
          <w:szCs w:val="21"/>
        </w:rPr>
      </w:pPr>
    </w:p>
    <w:p w:rsidRPr="00250803" w:rsidR="00560C6D" w:rsidP="00560C6D" w:rsidRDefault="00213597">
      <w:pPr>
        <w:rPr>
          <w:rFonts w:eastAsia="Times New Roman"/>
          <w:color w:val="7E7E7E"/>
          <w:sz w:val="21"/>
          <w:szCs w:val="21"/>
        </w:rPr>
      </w:pPr>
      <w:hyperlink w:history="1" r:id="rId19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Lessons from Prince’s Lack of a Will</w:t>
        </w:r>
      </w:hyperlink>
      <w:r w:rsidRPr="00250803" w:rsidR="00560C6D">
        <w:rPr>
          <w:rFonts w:eastAsia="Times New Roman"/>
          <w:color w:val="7E7E7E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Probate and Trust Law Section Newsletter</w:t>
      </w:r>
      <w:r w:rsidRPr="00250803" w:rsidR="00560C6D">
        <w:rPr>
          <w:rFonts w:eastAsia="Times New Roman"/>
          <w:sz w:val="21"/>
          <w:szCs w:val="21"/>
        </w:rPr>
        <w:t>, Philadelphia Bar Association, October 2016</w:t>
      </w:r>
    </w:p>
    <w:p w:rsidRPr="00250803" w:rsidR="00560C6D" w:rsidP="00560C6D" w:rsidRDefault="00560C6D">
      <w:pPr>
        <w:rPr>
          <w:rFonts w:eastAsia="Times New Roman"/>
          <w:color w:val="7E7E7E"/>
          <w:sz w:val="21"/>
          <w:szCs w:val="21"/>
        </w:rPr>
      </w:pPr>
    </w:p>
    <w:p w:rsidRPr="00250803" w:rsidR="00560C6D" w:rsidP="00560C6D" w:rsidRDefault="00213597">
      <w:pPr>
        <w:rPr>
          <w:rFonts w:eastAsia="Times New Roman"/>
          <w:color w:val="7E7E7E"/>
          <w:sz w:val="21"/>
          <w:szCs w:val="21"/>
        </w:rPr>
      </w:pPr>
      <w:hyperlink w:history="1" r:id="rId20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Swap Powers - Consider some often overlooked practical and technical aspects - Co-authored by Martin M. Shenkman</w:t>
        </w:r>
      </w:hyperlink>
      <w:r w:rsidRPr="00250803" w:rsidR="00560C6D">
        <w:rPr>
          <w:rFonts w:eastAsia="Times New Roman"/>
          <w:color w:val="7E7E7E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Trusts &amp; Estates</w:t>
      </w:r>
      <w:r w:rsidRPr="00250803" w:rsidR="00560C6D">
        <w:rPr>
          <w:rFonts w:eastAsia="Times New Roman"/>
          <w:sz w:val="21"/>
          <w:szCs w:val="21"/>
        </w:rPr>
        <w:t>, December 2015</w:t>
      </w:r>
    </w:p>
    <w:p w:rsidRPr="00250803" w:rsidR="00560C6D" w:rsidP="00560C6D" w:rsidRDefault="00560C6D">
      <w:pPr>
        <w:rPr>
          <w:rFonts w:eastAsia="Times New Roman"/>
          <w:color w:val="7E7E7E"/>
          <w:sz w:val="21"/>
          <w:szCs w:val="21"/>
        </w:rPr>
      </w:pPr>
    </w:p>
    <w:p w:rsidRPr="00250803" w:rsidR="00560C6D" w:rsidP="00560C6D" w:rsidRDefault="00213597">
      <w:pPr>
        <w:rPr>
          <w:rFonts w:eastAsia="Times New Roman"/>
          <w:color w:val="7E7E7E"/>
          <w:sz w:val="21"/>
          <w:szCs w:val="21"/>
        </w:rPr>
      </w:pPr>
      <w:hyperlink w:history="1" r:id="rId21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IRA Rollovers - Making this option possible for a spouse who's not the named beneficiary</w:t>
        </w:r>
      </w:hyperlink>
      <w:r w:rsidRPr="00250803" w:rsidR="00560C6D">
        <w:rPr>
          <w:rFonts w:eastAsia="Times New Roman"/>
          <w:color w:val="7E7E7E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Trusts &amp; Estates</w:t>
      </w:r>
      <w:r w:rsidRPr="00250803" w:rsidR="00560C6D">
        <w:rPr>
          <w:rFonts w:eastAsia="Times New Roman"/>
          <w:sz w:val="21"/>
          <w:szCs w:val="21"/>
        </w:rPr>
        <w:t>, June 2015</w:t>
      </w:r>
    </w:p>
    <w:p w:rsidRPr="00250803" w:rsidR="00560C6D" w:rsidP="00560C6D" w:rsidRDefault="00560C6D">
      <w:pPr>
        <w:rPr>
          <w:rFonts w:eastAsia="Times New Roman"/>
          <w:color w:val="7E7E7E"/>
          <w:sz w:val="21"/>
          <w:szCs w:val="21"/>
        </w:rPr>
      </w:pPr>
    </w:p>
    <w:p w:rsidRPr="00250803" w:rsidR="00560C6D" w:rsidP="00560C6D" w:rsidRDefault="00213597">
      <w:pPr>
        <w:rPr>
          <w:rFonts w:eastAsia="Times New Roman"/>
          <w:b/>
          <w:bCs/>
          <w:color w:val="7E7E7E"/>
          <w:sz w:val="21"/>
          <w:szCs w:val="21"/>
        </w:rPr>
      </w:pPr>
      <w:hyperlink w:tgtFrame="_new" w:history="1" r:id="rId22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Fiscal Year 2015 Revenue Proposals Affecting Retirement Plans and IRAs</w:t>
        </w:r>
      </w:hyperlink>
    </w:p>
    <w:p w:rsidRPr="00250803" w:rsidR="00560C6D" w:rsidP="00560C6D" w:rsidRDefault="00560C6D">
      <w:pPr>
        <w:rPr>
          <w:rFonts w:eastAsia="Times New Roman"/>
          <w:color w:val="7E7E7E"/>
          <w:sz w:val="21"/>
          <w:szCs w:val="21"/>
        </w:rPr>
      </w:pPr>
      <w:r w:rsidRPr="00250803">
        <w:rPr>
          <w:rFonts w:eastAsia="Times New Roman"/>
          <w:i/>
          <w:iCs/>
          <w:sz w:val="21"/>
          <w:szCs w:val="21"/>
        </w:rPr>
        <w:t>Trusts &amp; Estates</w:t>
      </w:r>
      <w:r w:rsidRPr="00250803">
        <w:rPr>
          <w:rFonts w:eastAsia="Times New Roman"/>
          <w:sz w:val="21"/>
          <w:szCs w:val="21"/>
        </w:rPr>
        <w:t>, May 2014</w:t>
      </w:r>
    </w:p>
    <w:p w:rsidRPr="00250803" w:rsidR="00560C6D" w:rsidP="00560C6D" w:rsidRDefault="00560C6D">
      <w:pPr>
        <w:rPr>
          <w:rFonts w:eastAsia="Times New Roman"/>
          <w:color w:val="7E7E7E"/>
          <w:sz w:val="21"/>
          <w:szCs w:val="21"/>
        </w:rPr>
      </w:pPr>
    </w:p>
    <w:p w:rsidRPr="00250803" w:rsidR="00560C6D" w:rsidP="00560C6D" w:rsidRDefault="00213597">
      <w:pPr>
        <w:spacing w:after="150"/>
        <w:contextualSpacing/>
        <w:rPr>
          <w:rFonts w:eastAsia="Times New Roman"/>
          <w:b/>
          <w:bCs/>
          <w:color w:val="5C5C5C"/>
          <w:sz w:val="21"/>
          <w:szCs w:val="21"/>
        </w:rPr>
      </w:pPr>
      <w:hyperlink w:tgtFrame="_new" w:history="1" r:id="rId23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Estate Planning in a Decoupled State Post-ATRA for Married Clients Under the Federal Exclusion Amount - Co-authored by Martin M. Shenkman, Richard H. Greenberg, Glenn A. Henkel</w:t>
        </w:r>
      </w:hyperlink>
    </w:p>
    <w:p w:rsidRPr="00250803" w:rsidR="00560C6D" w:rsidP="00560C6D" w:rsidRDefault="00560C6D">
      <w:pPr>
        <w:spacing w:after="150"/>
        <w:contextualSpacing/>
        <w:rPr>
          <w:rFonts w:eastAsia="Times New Roman"/>
          <w:color w:val="7E7E7E"/>
          <w:sz w:val="21"/>
          <w:szCs w:val="21"/>
        </w:rPr>
      </w:pPr>
      <w:r w:rsidRPr="00250803">
        <w:rPr>
          <w:rFonts w:eastAsia="Times New Roman"/>
          <w:i/>
          <w:iCs/>
          <w:sz w:val="21"/>
          <w:szCs w:val="21"/>
        </w:rPr>
        <w:t>Wolters Kluwer CCH’s CPA Client Advisor Library</w:t>
      </w:r>
      <w:r w:rsidRPr="00250803">
        <w:rPr>
          <w:rFonts w:eastAsia="Times New Roman"/>
          <w:sz w:val="21"/>
          <w:szCs w:val="21"/>
        </w:rPr>
        <w:t>, January 2014</w:t>
      </w:r>
    </w:p>
    <w:p w:rsidRPr="00250803" w:rsidR="00560C6D" w:rsidP="00560C6D" w:rsidRDefault="00560C6D">
      <w:pPr>
        <w:spacing w:after="150"/>
        <w:contextualSpacing/>
        <w:rPr>
          <w:rFonts w:eastAsia="Times New Roman"/>
          <w:b/>
          <w:bCs/>
          <w:color w:val="5C5C5C"/>
          <w:sz w:val="21"/>
          <w:szCs w:val="21"/>
        </w:rPr>
      </w:pPr>
    </w:p>
    <w:p w:rsidRPr="00250803" w:rsidR="00560C6D" w:rsidP="00560C6D" w:rsidRDefault="00213597">
      <w:pPr>
        <w:spacing w:after="150"/>
        <w:rPr>
          <w:rFonts w:eastAsia="Times New Roman"/>
          <w:color w:val="5C5C5C"/>
          <w:sz w:val="21"/>
          <w:szCs w:val="21"/>
        </w:rPr>
      </w:pPr>
      <w:hyperlink w:history="1" r:id="rId24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The Tax Increase Prevention Act extends QCDs for 2014</w:t>
        </w:r>
      </w:hyperlink>
      <w:r w:rsidRPr="00250803" w:rsidR="00560C6D">
        <w:rPr>
          <w:rFonts w:eastAsia="Times New Roman"/>
          <w:color w:val="5C5C5C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Trusts &amp; Estates</w:t>
      </w:r>
      <w:r w:rsidRPr="00250803" w:rsidR="00560C6D">
        <w:rPr>
          <w:rFonts w:eastAsia="Times New Roman"/>
          <w:sz w:val="21"/>
          <w:szCs w:val="21"/>
        </w:rPr>
        <w:t>, December 2014</w:t>
      </w:r>
    </w:p>
    <w:p w:rsidRPr="00250803" w:rsidR="00560C6D" w:rsidP="00560C6D" w:rsidRDefault="00213597">
      <w:pPr>
        <w:spacing w:after="150"/>
        <w:contextualSpacing/>
        <w:rPr>
          <w:rFonts w:eastAsia="Times New Roman"/>
          <w:b/>
          <w:bCs/>
          <w:color w:val="5C5C5C"/>
          <w:sz w:val="21"/>
          <w:szCs w:val="21"/>
        </w:rPr>
      </w:pPr>
      <w:hyperlink w:history="1" r:id="rId25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IRS Rules "No Problem" If IRA Trust Runs Out Of Beneficiaries</w:t>
        </w:r>
      </w:hyperlink>
    </w:p>
    <w:p w:rsidRPr="00250803" w:rsidR="00560C6D" w:rsidP="00560C6D" w:rsidRDefault="00560C6D">
      <w:pPr>
        <w:spacing w:after="150"/>
        <w:contextualSpacing/>
        <w:rPr>
          <w:rFonts w:eastAsia="Times New Roman"/>
          <w:color w:val="7E7E7E"/>
          <w:sz w:val="21"/>
          <w:szCs w:val="21"/>
        </w:rPr>
      </w:pPr>
      <w:r w:rsidRPr="00250803">
        <w:rPr>
          <w:rFonts w:eastAsia="Times New Roman"/>
          <w:i/>
          <w:iCs/>
          <w:sz w:val="21"/>
          <w:szCs w:val="21"/>
        </w:rPr>
        <w:t>Trusts &amp; Estates</w:t>
      </w:r>
      <w:r w:rsidRPr="00250803">
        <w:rPr>
          <w:rFonts w:eastAsia="Times New Roman"/>
          <w:sz w:val="21"/>
          <w:szCs w:val="21"/>
        </w:rPr>
        <w:t>, November 2013</w:t>
      </w:r>
    </w:p>
    <w:p w:rsidRPr="00250803" w:rsidR="00560C6D" w:rsidP="00560C6D" w:rsidRDefault="00560C6D">
      <w:pPr>
        <w:spacing w:after="150"/>
        <w:contextualSpacing/>
        <w:rPr>
          <w:rFonts w:eastAsia="Times New Roman"/>
          <w:color w:val="5C5C5C"/>
          <w:sz w:val="21"/>
          <w:szCs w:val="21"/>
        </w:rPr>
      </w:pPr>
    </w:p>
    <w:p w:rsidRPr="00250803" w:rsidR="00560C6D" w:rsidP="00560C6D" w:rsidRDefault="00213597">
      <w:pPr>
        <w:spacing w:after="150"/>
        <w:contextualSpacing/>
        <w:rPr>
          <w:rFonts w:eastAsia="Times New Roman"/>
          <w:b/>
          <w:bCs/>
          <w:color w:val="5C5C5C"/>
          <w:sz w:val="21"/>
          <w:szCs w:val="21"/>
        </w:rPr>
      </w:pPr>
      <w:hyperlink w:history="1" r:id="rId26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Estate Planning in Decoupled States Post-ATRA - Co-authored by Martin M. Shenkman</w:t>
        </w:r>
      </w:hyperlink>
    </w:p>
    <w:p w:rsidRPr="00250803" w:rsidR="00560C6D" w:rsidP="00560C6D" w:rsidRDefault="00560C6D">
      <w:pPr>
        <w:spacing w:after="150"/>
        <w:contextualSpacing/>
        <w:rPr>
          <w:rFonts w:eastAsia="Times New Roman"/>
          <w:color w:val="7E7E7E"/>
          <w:sz w:val="21"/>
          <w:szCs w:val="21"/>
        </w:rPr>
      </w:pPr>
      <w:r w:rsidRPr="00250803">
        <w:rPr>
          <w:rFonts w:eastAsia="Times New Roman"/>
          <w:i/>
          <w:iCs/>
          <w:sz w:val="21"/>
          <w:szCs w:val="21"/>
        </w:rPr>
        <w:t>Trusts &amp; Estates</w:t>
      </w:r>
      <w:r w:rsidRPr="00250803">
        <w:rPr>
          <w:rFonts w:eastAsia="Times New Roman"/>
          <w:sz w:val="21"/>
          <w:szCs w:val="21"/>
        </w:rPr>
        <w:t>, August 2013</w:t>
      </w:r>
    </w:p>
    <w:p w:rsidRPr="00250803" w:rsidR="00560C6D" w:rsidP="00560C6D" w:rsidRDefault="00560C6D">
      <w:pPr>
        <w:spacing w:after="150"/>
        <w:contextualSpacing/>
        <w:rPr>
          <w:rFonts w:eastAsia="Times New Roman"/>
          <w:color w:val="5C5C5C"/>
          <w:sz w:val="21"/>
          <w:szCs w:val="21"/>
        </w:rPr>
      </w:pPr>
    </w:p>
    <w:p w:rsidRPr="00250803" w:rsidR="00560C6D" w:rsidP="00560C6D" w:rsidRDefault="00213597">
      <w:pPr>
        <w:spacing w:after="150"/>
        <w:rPr>
          <w:rFonts w:eastAsia="Times New Roman"/>
          <w:color w:val="5C5C5C"/>
          <w:sz w:val="21"/>
          <w:szCs w:val="21"/>
        </w:rPr>
      </w:pPr>
      <w:hyperlink w:history="1" r:id="rId27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Using Portability for Retirement Benefits</w:t>
        </w:r>
      </w:hyperlink>
      <w:r w:rsidRPr="00250803" w:rsidR="00560C6D">
        <w:rPr>
          <w:rFonts w:eastAsia="Times New Roman"/>
          <w:color w:val="5C5C5C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Trusts &amp; Estates</w:t>
      </w:r>
      <w:r w:rsidRPr="00250803" w:rsidR="00560C6D">
        <w:rPr>
          <w:rFonts w:eastAsia="Times New Roman"/>
          <w:sz w:val="21"/>
          <w:szCs w:val="21"/>
        </w:rPr>
        <w:t>, June 2013</w:t>
      </w:r>
    </w:p>
    <w:p w:rsidRPr="00250803" w:rsidR="00560C6D" w:rsidP="00560C6D" w:rsidRDefault="00213597">
      <w:pPr>
        <w:spacing w:after="150"/>
        <w:rPr>
          <w:rFonts w:eastAsia="Times New Roman"/>
          <w:color w:val="5C5C5C"/>
          <w:sz w:val="21"/>
          <w:szCs w:val="21"/>
        </w:rPr>
      </w:pPr>
      <w:hyperlink w:history="1" r:id="rId28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Roth Conversions Are More Attractive Under ATRA</w:t>
        </w:r>
      </w:hyperlink>
      <w:r w:rsidRPr="00250803" w:rsidR="00560C6D">
        <w:rPr>
          <w:rFonts w:eastAsia="Times New Roman"/>
          <w:color w:val="5C5C5C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Trusts &amp; Estates</w:t>
      </w:r>
      <w:r w:rsidRPr="00250803" w:rsidR="00560C6D">
        <w:rPr>
          <w:rFonts w:eastAsia="Times New Roman"/>
          <w:sz w:val="21"/>
          <w:szCs w:val="21"/>
        </w:rPr>
        <w:t>, April 2013</w:t>
      </w:r>
    </w:p>
    <w:p w:rsidRPr="00250803" w:rsidR="00560C6D" w:rsidP="00560C6D" w:rsidRDefault="00213597">
      <w:pPr>
        <w:spacing w:after="150"/>
        <w:rPr>
          <w:rFonts w:eastAsia="Times New Roman"/>
          <w:color w:val="5C5C5C"/>
          <w:sz w:val="21"/>
          <w:szCs w:val="21"/>
        </w:rPr>
      </w:pPr>
      <w:hyperlink w:history="1" r:id="rId29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Gift Splitting Where the Spouse Is a Beneficiary</w:t>
        </w:r>
      </w:hyperlink>
      <w:r w:rsidRPr="00250803" w:rsidR="00560C6D">
        <w:rPr>
          <w:rFonts w:eastAsia="Times New Roman"/>
          <w:color w:val="5C5C5C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BNA Tax Management's Estates, Gifts &amp; Trusts Journal</w:t>
      </w:r>
      <w:r w:rsidRPr="00250803" w:rsidR="00560C6D">
        <w:rPr>
          <w:rFonts w:eastAsia="Times New Roman"/>
          <w:sz w:val="21"/>
          <w:szCs w:val="21"/>
        </w:rPr>
        <w:t>, November 2012</w:t>
      </w:r>
    </w:p>
    <w:p w:rsidRPr="00250803" w:rsidR="00560C6D" w:rsidP="00560C6D" w:rsidRDefault="00213597">
      <w:pPr>
        <w:spacing w:after="150"/>
        <w:rPr>
          <w:rFonts w:eastAsia="Times New Roman"/>
          <w:color w:val="5C5C5C"/>
          <w:sz w:val="21"/>
          <w:szCs w:val="21"/>
        </w:rPr>
      </w:pPr>
      <w:hyperlink w:history="1" r:id="rId30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Post-Mortem Action Can Limit Class Of Beneficiaries</w:t>
        </w:r>
      </w:hyperlink>
      <w:r w:rsidRPr="00250803" w:rsidR="00560C6D">
        <w:rPr>
          <w:rFonts w:eastAsia="Times New Roman"/>
          <w:color w:val="5C5C5C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Trusts &amp; Estates</w:t>
      </w:r>
      <w:r w:rsidRPr="00250803" w:rsidR="00560C6D">
        <w:rPr>
          <w:rFonts w:eastAsia="Times New Roman"/>
          <w:sz w:val="21"/>
          <w:szCs w:val="21"/>
        </w:rPr>
        <w:t>, May 2012</w:t>
      </w:r>
    </w:p>
    <w:p w:rsidRPr="00250803" w:rsidR="00560C6D" w:rsidP="00560C6D" w:rsidRDefault="00213597">
      <w:pPr>
        <w:spacing w:after="150"/>
        <w:rPr>
          <w:rFonts w:eastAsia="Times New Roman"/>
          <w:color w:val="5C5C5C"/>
          <w:sz w:val="21"/>
          <w:szCs w:val="21"/>
        </w:rPr>
      </w:pPr>
      <w:hyperlink w:history="1" r:id="rId31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Beware of the Reciprocal Trust Doctrine -- Co-authored by Martin M. Shenkman</w:t>
        </w:r>
      </w:hyperlink>
      <w:r w:rsidRPr="00250803" w:rsidR="00560C6D">
        <w:rPr>
          <w:rFonts w:eastAsia="Times New Roman"/>
          <w:color w:val="5C5C5C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Trusts &amp; Estates</w:t>
      </w:r>
      <w:r w:rsidRPr="00250803" w:rsidR="00560C6D">
        <w:rPr>
          <w:rFonts w:eastAsia="Times New Roman"/>
          <w:sz w:val="21"/>
          <w:szCs w:val="21"/>
        </w:rPr>
        <w:t>, April 2012</w:t>
      </w:r>
    </w:p>
    <w:p w:rsidRPr="00250803" w:rsidR="00560C6D" w:rsidP="00560C6D" w:rsidRDefault="00213597">
      <w:pPr>
        <w:spacing w:after="150"/>
        <w:rPr>
          <w:rFonts w:eastAsia="Times New Roman"/>
          <w:color w:val="5C5C5C"/>
          <w:sz w:val="21"/>
          <w:szCs w:val="21"/>
        </w:rPr>
      </w:pPr>
      <w:hyperlink w:history="1" r:id="rId32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Practical Guidance on 2010 Carryover Basis -- Co-authored with Martin M. Shenkman</w:t>
        </w:r>
      </w:hyperlink>
      <w:r w:rsidRPr="00250803" w:rsidR="00560C6D">
        <w:rPr>
          <w:rFonts w:eastAsia="Times New Roman"/>
          <w:color w:val="5C5C5C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CCH Practitioner's Strategies</w:t>
      </w:r>
      <w:r w:rsidRPr="00250803" w:rsidR="00560C6D">
        <w:rPr>
          <w:rFonts w:eastAsia="Times New Roman"/>
          <w:sz w:val="21"/>
          <w:szCs w:val="21"/>
        </w:rPr>
        <w:t>, December 2011</w:t>
      </w:r>
    </w:p>
    <w:p w:rsidRPr="00250803" w:rsidR="00560C6D" w:rsidP="00560C6D" w:rsidRDefault="00213597">
      <w:pPr>
        <w:spacing w:after="150"/>
        <w:contextualSpacing/>
        <w:rPr>
          <w:rFonts w:eastAsia="Times New Roman"/>
          <w:b/>
          <w:bCs/>
          <w:color w:val="5C5C5C"/>
          <w:sz w:val="21"/>
          <w:szCs w:val="21"/>
        </w:rPr>
      </w:pPr>
      <w:hyperlink w:history="1" r:id="rId33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Restorative Payments</w:t>
        </w:r>
      </w:hyperlink>
    </w:p>
    <w:p w:rsidRPr="00250803" w:rsidR="00560C6D" w:rsidP="00560C6D" w:rsidRDefault="00560C6D">
      <w:pPr>
        <w:spacing w:after="150"/>
        <w:contextualSpacing/>
        <w:rPr>
          <w:rFonts w:eastAsia="Times New Roman"/>
          <w:color w:val="7E7E7E"/>
          <w:sz w:val="21"/>
          <w:szCs w:val="21"/>
        </w:rPr>
      </w:pPr>
      <w:r w:rsidRPr="00250803">
        <w:rPr>
          <w:rFonts w:eastAsia="Times New Roman"/>
          <w:sz w:val="21"/>
          <w:szCs w:val="21"/>
        </w:rPr>
        <w:t>Trusts &amp; Estates, June 2011</w:t>
      </w:r>
    </w:p>
    <w:p w:rsidRPr="00250803" w:rsidR="00560C6D" w:rsidP="00560C6D" w:rsidRDefault="00560C6D">
      <w:pPr>
        <w:spacing w:after="150"/>
        <w:contextualSpacing/>
        <w:rPr>
          <w:rFonts w:eastAsia="Times New Roman"/>
          <w:color w:val="5C5C5C"/>
          <w:sz w:val="21"/>
          <w:szCs w:val="21"/>
        </w:rPr>
      </w:pPr>
    </w:p>
    <w:p w:rsidRPr="00250803" w:rsidR="00560C6D" w:rsidP="00560C6D" w:rsidRDefault="00213597">
      <w:pPr>
        <w:spacing w:after="150"/>
        <w:rPr>
          <w:rFonts w:eastAsia="Times New Roman"/>
          <w:color w:val="5C5C5C"/>
          <w:sz w:val="21"/>
          <w:szCs w:val="21"/>
        </w:rPr>
      </w:pPr>
      <w:hyperlink w:history="1" r:id="rId34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Using Trusts to Protect Benefits from Beneficiaries' Creditors</w:t>
        </w:r>
      </w:hyperlink>
      <w:r w:rsidRPr="00250803" w:rsidR="00560C6D">
        <w:rPr>
          <w:rFonts w:eastAsia="Times New Roman"/>
          <w:color w:val="5C5C5C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Trusts &amp; Estates</w:t>
      </w:r>
      <w:r w:rsidRPr="00250803" w:rsidR="00560C6D">
        <w:rPr>
          <w:rFonts w:eastAsia="Times New Roman"/>
          <w:sz w:val="21"/>
          <w:szCs w:val="21"/>
        </w:rPr>
        <w:t>, September 2010</w:t>
      </w:r>
    </w:p>
    <w:p w:rsidRPr="00250803" w:rsidR="00560C6D" w:rsidP="00560C6D" w:rsidRDefault="00213597">
      <w:pPr>
        <w:spacing w:after="150"/>
        <w:rPr>
          <w:rFonts w:eastAsia="Times New Roman"/>
          <w:color w:val="5C5C5C"/>
          <w:sz w:val="21"/>
          <w:szCs w:val="21"/>
        </w:rPr>
      </w:pPr>
      <w:hyperlink w:history="1" r:id="rId35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Before Setting Up A Trusteed IRA</w:t>
        </w:r>
      </w:hyperlink>
      <w:r w:rsidRPr="00250803" w:rsidR="00560C6D">
        <w:rPr>
          <w:rFonts w:eastAsia="Times New Roman"/>
          <w:color w:val="5C5C5C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Trusts &amp; Estates</w:t>
      </w:r>
      <w:r w:rsidRPr="00250803" w:rsidR="00560C6D">
        <w:rPr>
          <w:rFonts w:eastAsia="Times New Roman"/>
          <w:sz w:val="21"/>
          <w:szCs w:val="21"/>
        </w:rPr>
        <w:t>, September 2009</w:t>
      </w:r>
    </w:p>
    <w:p w:rsidRPr="00250803" w:rsidR="00560C6D" w:rsidP="00560C6D" w:rsidRDefault="00213597">
      <w:pPr>
        <w:spacing w:after="150"/>
        <w:rPr>
          <w:rFonts w:eastAsia="Times New Roman"/>
          <w:color w:val="5C5C5C"/>
          <w:sz w:val="21"/>
          <w:szCs w:val="21"/>
        </w:rPr>
      </w:pPr>
      <w:hyperlink w:history="1" r:id="rId36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Ten Common Errors</w:t>
        </w:r>
      </w:hyperlink>
      <w:r w:rsidRPr="00250803" w:rsidR="00560C6D">
        <w:rPr>
          <w:rFonts w:eastAsia="Times New Roman"/>
          <w:color w:val="5C5C5C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Trusts &amp; Estates</w:t>
      </w:r>
      <w:r w:rsidRPr="00250803" w:rsidR="00560C6D">
        <w:rPr>
          <w:rFonts w:eastAsia="Times New Roman"/>
          <w:sz w:val="21"/>
          <w:szCs w:val="21"/>
        </w:rPr>
        <w:t>, September 2008</w:t>
      </w:r>
    </w:p>
    <w:p w:rsidRPr="00250803" w:rsidR="00560C6D" w:rsidP="00560C6D" w:rsidRDefault="00213597">
      <w:pPr>
        <w:spacing w:after="150"/>
        <w:contextualSpacing/>
        <w:rPr>
          <w:rFonts w:eastAsia="Times New Roman"/>
          <w:b/>
          <w:bCs/>
          <w:color w:val="5C5C5C"/>
          <w:sz w:val="21"/>
          <w:szCs w:val="21"/>
        </w:rPr>
      </w:pPr>
      <w:hyperlink w:history="1" r:id="rId37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Restorative Payments</w:t>
        </w:r>
      </w:hyperlink>
    </w:p>
    <w:p w:rsidR="00560C6D" w:rsidP="00560C6D" w:rsidRDefault="00560C6D">
      <w:pPr>
        <w:spacing w:after="150"/>
        <w:contextualSpacing/>
        <w:rPr>
          <w:rFonts w:eastAsia="Times New Roman"/>
          <w:sz w:val="21"/>
          <w:szCs w:val="21"/>
        </w:rPr>
      </w:pPr>
      <w:r w:rsidRPr="00250803">
        <w:rPr>
          <w:rFonts w:eastAsia="Times New Roman"/>
          <w:sz w:val="21"/>
          <w:szCs w:val="21"/>
        </w:rPr>
        <w:t>Trusts &amp; Estates Wealth Watch News, August 2007</w:t>
      </w:r>
    </w:p>
    <w:p w:rsidR="00250803" w:rsidP="00560C6D" w:rsidRDefault="00250803">
      <w:pPr>
        <w:spacing w:after="150"/>
        <w:contextualSpacing/>
        <w:rPr>
          <w:rFonts w:eastAsia="Times New Roman"/>
          <w:sz w:val="21"/>
          <w:szCs w:val="21"/>
        </w:rPr>
      </w:pPr>
    </w:p>
    <w:p w:rsidRPr="00250803" w:rsidR="00560C6D" w:rsidP="00560C6D" w:rsidRDefault="00213597">
      <w:pPr>
        <w:spacing w:after="150"/>
        <w:contextualSpacing/>
        <w:rPr>
          <w:rFonts w:eastAsia="Times New Roman"/>
          <w:b/>
          <w:bCs/>
          <w:color w:val="5C5C5C"/>
          <w:sz w:val="21"/>
          <w:szCs w:val="21"/>
        </w:rPr>
      </w:pPr>
      <w:r w:rsidRPr="00250803">
        <w:lastRenderedPageBreak/>
        <w:fldChar w:fldCharType="begin"/>
      </w:r>
      <w:r w:rsidRPr="00250803">
        <w:instrText xml:space="preserve"> HYPERLINK "https://www.kkwc.com/wp-content/uploads/2015/04/uf_nongrantor.pdf" </w:instrText>
      </w:r>
      <w:r w:rsidRPr="00250803">
        <w:fldChar w:fldCharType="separate"/>
      </w:r>
      <w:r w:rsidRPr="00250803" w:rsidR="00560C6D">
        <w:rPr>
          <w:rFonts w:eastAsia="Times New Roman"/>
          <w:b/>
          <w:bCs/>
          <w:color w:val="196DB6"/>
          <w:sz w:val="21"/>
          <w:szCs w:val="21"/>
        </w:rPr>
        <w:t>The Accidentally Perfect Non-grantor Trust</w:t>
      </w:r>
      <w:r w:rsidRPr="00250803">
        <w:rPr>
          <w:rFonts w:eastAsia="Times New Roman"/>
          <w:b/>
          <w:bCs/>
          <w:color w:val="196DB6"/>
          <w:sz w:val="21"/>
          <w:szCs w:val="21"/>
        </w:rPr>
        <w:fldChar w:fldCharType="end"/>
      </w:r>
    </w:p>
    <w:p w:rsidRPr="00250803" w:rsidR="00560C6D" w:rsidP="00560C6D" w:rsidRDefault="00560C6D">
      <w:pPr>
        <w:spacing w:after="150"/>
        <w:contextualSpacing/>
        <w:rPr>
          <w:rFonts w:eastAsia="Times New Roman"/>
          <w:color w:val="7E7E7E"/>
          <w:sz w:val="21"/>
          <w:szCs w:val="21"/>
        </w:rPr>
      </w:pPr>
      <w:r w:rsidRPr="00250803">
        <w:rPr>
          <w:rFonts w:eastAsia="Times New Roman"/>
          <w:i/>
          <w:iCs/>
          <w:sz w:val="21"/>
          <w:szCs w:val="21"/>
        </w:rPr>
        <w:t>Trusts &amp; Estates</w:t>
      </w:r>
      <w:r w:rsidRPr="00250803">
        <w:rPr>
          <w:rFonts w:eastAsia="Times New Roman"/>
          <w:sz w:val="21"/>
          <w:szCs w:val="21"/>
        </w:rPr>
        <w:t>, September 2005</w:t>
      </w:r>
    </w:p>
    <w:p w:rsidRPr="00250803" w:rsidR="00560C6D" w:rsidP="00560C6D" w:rsidRDefault="00560C6D">
      <w:pPr>
        <w:spacing w:after="150"/>
        <w:contextualSpacing/>
        <w:rPr>
          <w:rFonts w:eastAsia="Times New Roman"/>
          <w:color w:val="5C5C5C"/>
          <w:sz w:val="21"/>
          <w:szCs w:val="21"/>
        </w:rPr>
      </w:pPr>
    </w:p>
    <w:p w:rsidRPr="00250803" w:rsidR="00560C6D" w:rsidP="00560C6D" w:rsidRDefault="00213597">
      <w:pPr>
        <w:spacing w:after="150"/>
        <w:rPr>
          <w:rFonts w:eastAsia="Times New Roman"/>
          <w:color w:val="5C5C5C"/>
          <w:sz w:val="21"/>
          <w:szCs w:val="21"/>
        </w:rPr>
      </w:pPr>
      <w:hyperlink w:history="1" r:id="rId38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Trusts as Beneficiaries of Retirement Benefits</w:t>
        </w:r>
      </w:hyperlink>
      <w:r w:rsidRPr="00250803" w:rsidR="00560C6D">
        <w:rPr>
          <w:rFonts w:eastAsia="Times New Roman"/>
          <w:color w:val="5C5C5C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Tax Management Estates, Gifts and Trusts Journal</w:t>
      </w:r>
      <w:r w:rsidRPr="00250803" w:rsidR="00560C6D">
        <w:rPr>
          <w:rFonts w:eastAsia="Times New Roman"/>
          <w:sz w:val="21"/>
          <w:szCs w:val="21"/>
        </w:rPr>
        <w:t>, March 2004</w:t>
      </w:r>
    </w:p>
    <w:p w:rsidRPr="00250803" w:rsidR="00560C6D" w:rsidP="00560C6D" w:rsidRDefault="00213597">
      <w:pPr>
        <w:spacing w:after="150"/>
        <w:rPr>
          <w:rFonts w:eastAsia="Times New Roman"/>
          <w:sz w:val="21"/>
          <w:szCs w:val="21"/>
        </w:rPr>
      </w:pPr>
      <w:hyperlink w:history="1" r:id="rId39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Coping with the Decoupling of State Estate Taxes After EGTRRA</w:t>
        </w:r>
      </w:hyperlink>
      <w:r w:rsidRPr="00250803" w:rsidR="00560C6D">
        <w:rPr>
          <w:rFonts w:eastAsia="Times New Roman"/>
          <w:color w:val="5C5C5C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Estate Planning, Vol. 30, No. 4</w:t>
      </w:r>
      <w:r w:rsidRPr="00250803" w:rsidR="00560C6D">
        <w:rPr>
          <w:rFonts w:eastAsia="Times New Roman"/>
          <w:sz w:val="21"/>
          <w:szCs w:val="21"/>
        </w:rPr>
        <w:t>, April 2003</w:t>
      </w:r>
    </w:p>
    <w:p w:rsidRPr="00250803" w:rsidR="000A2216" w:rsidP="00560C6D" w:rsidRDefault="000A2216">
      <w:pPr>
        <w:spacing w:after="150"/>
        <w:contextualSpacing/>
        <w:rPr>
          <w:rFonts w:eastAsia="Times New Roman"/>
          <w:b/>
          <w:sz w:val="21"/>
          <w:szCs w:val="21"/>
        </w:rPr>
      </w:pPr>
      <w:r w:rsidRPr="00250803">
        <w:rPr>
          <w:rFonts w:eastAsia="Times New Roman"/>
          <w:b/>
          <w:color w:val="0070C0"/>
          <w:sz w:val="21"/>
          <w:szCs w:val="21"/>
        </w:rPr>
        <w:t>Estate Planning for Retirement Benefits</w:t>
      </w:r>
    </w:p>
    <w:p w:rsidRPr="00250803" w:rsidR="000A2216" w:rsidP="00560C6D" w:rsidRDefault="000A2216">
      <w:pPr>
        <w:spacing w:after="150"/>
        <w:contextualSpacing/>
        <w:rPr>
          <w:rFonts w:eastAsia="Times New Roman"/>
          <w:color w:val="5C5C5C"/>
          <w:sz w:val="21"/>
          <w:szCs w:val="21"/>
        </w:rPr>
      </w:pPr>
      <w:r w:rsidRPr="00250803">
        <w:rPr>
          <w:rFonts w:eastAsia="Times New Roman"/>
          <w:i/>
          <w:sz w:val="21"/>
          <w:szCs w:val="21"/>
        </w:rPr>
        <w:t>The CPA Journa</w:t>
      </w:r>
      <w:r w:rsidRPr="00250803">
        <w:rPr>
          <w:rFonts w:eastAsia="Times New Roman"/>
          <w:sz w:val="21"/>
          <w:szCs w:val="21"/>
        </w:rPr>
        <w:t>l, January 2001</w:t>
      </w:r>
    </w:p>
    <w:p w:rsidRPr="00250803" w:rsidR="000A2216" w:rsidP="00560C6D" w:rsidRDefault="000A2216">
      <w:pPr>
        <w:spacing w:after="150"/>
        <w:contextualSpacing/>
        <w:rPr>
          <w:rFonts w:eastAsia="Times New Roman"/>
          <w:color w:val="5C5C5C"/>
          <w:sz w:val="21"/>
          <w:szCs w:val="21"/>
        </w:rPr>
      </w:pPr>
    </w:p>
    <w:p w:rsidRPr="00250803" w:rsidR="00560C6D" w:rsidP="00560C6D" w:rsidRDefault="00213597">
      <w:pPr>
        <w:rPr>
          <w:rFonts w:eastAsia="Times New Roman"/>
          <w:color w:val="7E7E7E"/>
          <w:sz w:val="21"/>
          <w:szCs w:val="21"/>
        </w:rPr>
      </w:pPr>
      <w:hyperlink w:history="1" r:id="rId40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Avoiding a Penalty on Early Distributions from Qualified Plans and IRAs</w:t>
        </w:r>
      </w:hyperlink>
      <w:r w:rsidRPr="00250803" w:rsidR="00560C6D">
        <w:rPr>
          <w:rFonts w:eastAsia="Times New Roman"/>
          <w:color w:val="7E7E7E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Estate Planning</w:t>
      </w:r>
      <w:r w:rsidRPr="00250803" w:rsidR="00560C6D">
        <w:rPr>
          <w:rFonts w:eastAsia="Times New Roman"/>
          <w:sz w:val="21"/>
          <w:szCs w:val="21"/>
        </w:rPr>
        <w:t>, January 2000</w:t>
      </w:r>
    </w:p>
    <w:p w:rsidRPr="00250803" w:rsidR="00560C6D" w:rsidP="00560C6D" w:rsidRDefault="00560C6D">
      <w:pPr>
        <w:rPr>
          <w:rFonts w:eastAsia="Times New Roman"/>
          <w:color w:val="7E7E7E"/>
          <w:sz w:val="21"/>
          <w:szCs w:val="21"/>
        </w:rPr>
      </w:pPr>
      <w:r w:rsidRPr="00250803">
        <w:rPr>
          <w:rFonts w:eastAsia="Times New Roman"/>
          <w:color w:val="7E7E7E"/>
          <w:sz w:val="21"/>
          <w:szCs w:val="21"/>
        </w:rPr>
        <w:t> </w:t>
      </w:r>
    </w:p>
    <w:p w:rsidRPr="00250803" w:rsidR="00560C6D" w:rsidP="00560C6D" w:rsidRDefault="00213597">
      <w:pPr>
        <w:rPr>
          <w:rFonts w:eastAsia="Times New Roman"/>
          <w:color w:val="7E7E7E"/>
          <w:sz w:val="21"/>
          <w:szCs w:val="21"/>
        </w:rPr>
      </w:pPr>
      <w:hyperlink w:history="1" r:id="rId41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Postmortem Strategies to Shift Retirement Plan Assets to the Spouse</w:t>
        </w:r>
      </w:hyperlink>
      <w:r w:rsidRPr="00250803" w:rsidR="00560C6D">
        <w:rPr>
          <w:rFonts w:eastAsia="Times New Roman"/>
          <w:color w:val="7E7E7E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Estate Planning</w:t>
      </w:r>
      <w:r w:rsidRPr="00250803" w:rsidR="00560C6D">
        <w:rPr>
          <w:rFonts w:eastAsia="Times New Roman"/>
          <w:sz w:val="21"/>
          <w:szCs w:val="21"/>
        </w:rPr>
        <w:t>, October 1997</w:t>
      </w:r>
    </w:p>
    <w:p w:rsidRPr="00250803" w:rsidR="00560C6D" w:rsidP="00560C6D" w:rsidRDefault="00560C6D">
      <w:pPr>
        <w:rPr>
          <w:rFonts w:eastAsia="Times New Roman"/>
          <w:color w:val="7E7E7E"/>
          <w:sz w:val="21"/>
          <w:szCs w:val="21"/>
        </w:rPr>
      </w:pPr>
      <w:r w:rsidRPr="00250803">
        <w:rPr>
          <w:rFonts w:eastAsia="Times New Roman"/>
          <w:color w:val="7E7E7E"/>
          <w:sz w:val="21"/>
          <w:szCs w:val="21"/>
        </w:rPr>
        <w:t> </w:t>
      </w:r>
    </w:p>
    <w:p w:rsidRPr="00250803" w:rsidR="00560C6D" w:rsidP="00560C6D" w:rsidRDefault="00213597">
      <w:pPr>
        <w:rPr>
          <w:rFonts w:eastAsia="Times New Roman"/>
          <w:sz w:val="21"/>
          <w:szCs w:val="21"/>
        </w:rPr>
      </w:pPr>
      <w:hyperlink w:history="1" r:id="rId42">
        <w:r w:rsidRPr="00250803" w:rsidR="00560C6D">
          <w:rPr>
            <w:rFonts w:eastAsia="Times New Roman"/>
            <w:b/>
            <w:bCs/>
            <w:color w:val="196DB6"/>
            <w:sz w:val="21"/>
            <w:szCs w:val="21"/>
          </w:rPr>
          <w:t>Where to Deduct Estate Administration Expenses</w:t>
        </w:r>
      </w:hyperlink>
      <w:r w:rsidRPr="00250803" w:rsidR="00560C6D">
        <w:rPr>
          <w:rFonts w:eastAsia="Times New Roman"/>
          <w:color w:val="7E7E7E"/>
          <w:sz w:val="21"/>
          <w:szCs w:val="21"/>
        </w:rPr>
        <w:br/>
      </w:r>
      <w:r w:rsidRPr="00250803" w:rsidR="00560C6D">
        <w:rPr>
          <w:rFonts w:eastAsia="Times New Roman"/>
          <w:i/>
          <w:iCs/>
          <w:sz w:val="21"/>
          <w:szCs w:val="21"/>
        </w:rPr>
        <w:t>The CPA Journal</w:t>
      </w:r>
      <w:r w:rsidRPr="00250803" w:rsidR="00560C6D">
        <w:rPr>
          <w:rFonts w:eastAsia="Times New Roman"/>
          <w:sz w:val="21"/>
          <w:szCs w:val="21"/>
        </w:rPr>
        <w:t>, August 1991</w:t>
      </w:r>
    </w:p>
    <w:p w:rsidRPr="00250803" w:rsidR="000A2216" w:rsidP="00560C6D" w:rsidRDefault="000A2216">
      <w:pPr>
        <w:rPr>
          <w:rFonts w:eastAsia="Times New Roman"/>
          <w:sz w:val="21"/>
          <w:szCs w:val="21"/>
        </w:rPr>
      </w:pPr>
    </w:p>
    <w:p w:rsidRPr="00250803" w:rsidR="000A2216" w:rsidP="00560C6D" w:rsidRDefault="000A2216">
      <w:pPr>
        <w:rPr>
          <w:rFonts w:eastAsia="Times New Roman"/>
          <w:b/>
          <w:sz w:val="21"/>
          <w:szCs w:val="21"/>
        </w:rPr>
      </w:pPr>
      <w:r w:rsidRPr="00250803">
        <w:rPr>
          <w:rFonts w:eastAsia="Times New Roman"/>
          <w:b/>
          <w:color w:val="0070C0"/>
          <w:sz w:val="21"/>
          <w:szCs w:val="21"/>
        </w:rPr>
        <w:t>The Benefits of Charitable Remainder Trusts – Co-authored with Frederick J. Wertlieb</w:t>
      </w:r>
    </w:p>
    <w:p w:rsidRPr="00250803" w:rsidR="000A2216" w:rsidP="00560C6D" w:rsidRDefault="000A2216">
      <w:pPr>
        <w:rPr>
          <w:rFonts w:eastAsia="Times New Roman"/>
          <w:sz w:val="21"/>
          <w:szCs w:val="21"/>
        </w:rPr>
      </w:pPr>
      <w:r w:rsidRPr="00250803">
        <w:rPr>
          <w:rFonts w:eastAsia="Times New Roman"/>
          <w:i/>
          <w:sz w:val="21"/>
          <w:szCs w:val="21"/>
        </w:rPr>
        <w:t>Journal of the American Society of CLU &amp; ChFC</w:t>
      </w:r>
      <w:r w:rsidRPr="00250803">
        <w:rPr>
          <w:rFonts w:eastAsia="Times New Roman"/>
          <w:sz w:val="21"/>
          <w:szCs w:val="21"/>
        </w:rPr>
        <w:t>, November 1992</w:t>
      </w:r>
    </w:p>
    <w:p w:rsidRPr="00250803" w:rsidR="000A2216" w:rsidP="00560C6D" w:rsidRDefault="000A2216">
      <w:pPr>
        <w:rPr>
          <w:rFonts w:eastAsia="Times New Roman"/>
          <w:sz w:val="21"/>
          <w:szCs w:val="21"/>
        </w:rPr>
      </w:pPr>
    </w:p>
    <w:p w:rsidRPr="00250803" w:rsidR="000A2216" w:rsidP="00560C6D" w:rsidRDefault="000A2216">
      <w:pPr>
        <w:rPr>
          <w:rFonts w:eastAsia="Times New Roman"/>
          <w:b/>
          <w:sz w:val="21"/>
          <w:szCs w:val="21"/>
        </w:rPr>
      </w:pPr>
      <w:r w:rsidRPr="00250803">
        <w:rPr>
          <w:rFonts w:eastAsia="Times New Roman"/>
          <w:b/>
          <w:color w:val="0070C0"/>
          <w:sz w:val="21"/>
          <w:szCs w:val="21"/>
        </w:rPr>
        <w:t>New Regulations Allow More Real Estate Corporations to Become S Corporations</w:t>
      </w:r>
    </w:p>
    <w:p w:rsidRPr="00250803" w:rsidR="000A2216" w:rsidP="00560C6D" w:rsidRDefault="000A2216">
      <w:pPr>
        <w:rPr>
          <w:rFonts w:eastAsia="Times New Roman"/>
          <w:color w:val="7E7E7E"/>
          <w:sz w:val="21"/>
          <w:szCs w:val="21"/>
        </w:rPr>
      </w:pPr>
      <w:r w:rsidRPr="00250803">
        <w:rPr>
          <w:rFonts w:eastAsia="Times New Roman"/>
          <w:i/>
          <w:sz w:val="21"/>
          <w:szCs w:val="21"/>
        </w:rPr>
        <w:t>TAXES</w:t>
      </w:r>
      <w:r w:rsidRPr="00250803">
        <w:rPr>
          <w:rFonts w:eastAsia="Times New Roman"/>
          <w:sz w:val="21"/>
          <w:szCs w:val="21"/>
        </w:rPr>
        <w:t>, May 1993</w:t>
      </w:r>
    </w:p>
    <w:p w:rsidRPr="00250803" w:rsidR="00560C6D" w:rsidP="00560C6D" w:rsidRDefault="00560C6D">
      <w:pPr>
        <w:rPr>
          <w:rFonts w:eastAsia="Times New Roman"/>
          <w:color w:val="7E7E7E"/>
          <w:sz w:val="21"/>
          <w:szCs w:val="21"/>
        </w:rPr>
      </w:pPr>
      <w:r w:rsidRPr="00250803">
        <w:rPr>
          <w:rFonts w:eastAsia="Times New Roman"/>
          <w:color w:val="7E7E7E"/>
          <w:sz w:val="21"/>
          <w:szCs w:val="21"/>
        </w:rPr>
        <w:br/>
      </w:r>
      <w:hyperlink w:history="1" r:id="rId43">
        <w:r w:rsidRPr="00250803">
          <w:rPr>
            <w:rFonts w:eastAsia="Times New Roman"/>
            <w:b/>
            <w:bCs/>
            <w:color w:val="196DB6"/>
            <w:sz w:val="21"/>
            <w:szCs w:val="21"/>
          </w:rPr>
          <w:t>Considering the Alternate Valuation Date Option</w:t>
        </w:r>
      </w:hyperlink>
      <w:r w:rsidRPr="00250803">
        <w:rPr>
          <w:rFonts w:eastAsia="Times New Roman"/>
          <w:color w:val="7E7E7E"/>
          <w:sz w:val="21"/>
          <w:szCs w:val="21"/>
        </w:rPr>
        <w:br/>
      </w:r>
      <w:r w:rsidRPr="00250803">
        <w:rPr>
          <w:rFonts w:eastAsia="Times New Roman"/>
          <w:i/>
          <w:iCs/>
          <w:sz w:val="21"/>
          <w:szCs w:val="21"/>
        </w:rPr>
        <w:t>WG&amp;L Estate Planning</w:t>
      </w:r>
      <w:r w:rsidRPr="00250803">
        <w:rPr>
          <w:rFonts w:eastAsia="Times New Roman"/>
          <w:sz w:val="21"/>
          <w:szCs w:val="21"/>
        </w:rPr>
        <w:t>, July 1989</w:t>
      </w:r>
    </w:p>
    <w:p w:rsidRPr="00250803" w:rsidR="000A2216" w:rsidP="00560C6D" w:rsidRDefault="000A2216">
      <w:pPr>
        <w:rPr>
          <w:rFonts w:eastAsia="Times New Roman"/>
          <w:color w:val="7E7E7E"/>
          <w:sz w:val="21"/>
          <w:szCs w:val="21"/>
        </w:rPr>
      </w:pPr>
    </w:p>
    <w:p w:rsidRPr="00250803" w:rsidR="000A2216" w:rsidP="00560C6D" w:rsidRDefault="000A2216">
      <w:pPr>
        <w:rPr>
          <w:rFonts w:eastAsia="Times New Roman"/>
          <w:b/>
          <w:color w:val="7E7E7E"/>
          <w:sz w:val="21"/>
          <w:szCs w:val="21"/>
        </w:rPr>
      </w:pPr>
      <w:r w:rsidRPr="00250803">
        <w:rPr>
          <w:rFonts w:eastAsia="Times New Roman"/>
          <w:b/>
          <w:color w:val="0070C0"/>
          <w:sz w:val="21"/>
          <w:szCs w:val="21"/>
        </w:rPr>
        <w:t>Timing of S Election Can Minimize Double Taxes on Gains</w:t>
      </w:r>
    </w:p>
    <w:p w:rsidRPr="00250803" w:rsidR="000A2216" w:rsidP="00560C6D" w:rsidRDefault="000A2216">
      <w:pPr>
        <w:rPr>
          <w:rFonts w:eastAsia="Times New Roman"/>
          <w:color w:val="7E7E7E"/>
          <w:sz w:val="21"/>
          <w:szCs w:val="21"/>
        </w:rPr>
      </w:pPr>
      <w:r w:rsidRPr="00250803">
        <w:rPr>
          <w:rFonts w:eastAsia="Times New Roman"/>
          <w:i/>
          <w:sz w:val="21"/>
          <w:szCs w:val="21"/>
        </w:rPr>
        <w:t>Corporate Taxation</w:t>
      </w:r>
      <w:r w:rsidRPr="00250803">
        <w:rPr>
          <w:rFonts w:eastAsia="Times New Roman"/>
          <w:sz w:val="21"/>
          <w:szCs w:val="21"/>
        </w:rPr>
        <w:t>, November/December 1988</w:t>
      </w:r>
    </w:p>
    <w:p w:rsidRPr="00250803" w:rsidR="00560C6D" w:rsidP="00560C6D" w:rsidRDefault="00560C6D">
      <w:pPr>
        <w:rPr>
          <w:rFonts w:eastAsia="Times New Roman"/>
          <w:sz w:val="21"/>
          <w:szCs w:val="21"/>
        </w:rPr>
      </w:pPr>
      <w:r w:rsidRPr="00250803">
        <w:rPr>
          <w:rFonts w:eastAsia="Times New Roman"/>
          <w:color w:val="7E7E7E"/>
          <w:sz w:val="21"/>
          <w:szCs w:val="21"/>
        </w:rPr>
        <w:br/>
      </w:r>
      <w:hyperlink w:history="1" r:id="rId44">
        <w:r w:rsidRPr="00250803">
          <w:rPr>
            <w:rFonts w:eastAsia="Times New Roman"/>
            <w:b/>
            <w:bCs/>
            <w:color w:val="196DB6"/>
            <w:sz w:val="21"/>
            <w:szCs w:val="21"/>
          </w:rPr>
          <w:t>Estate Tax Marital Deduction Planning For Alternate Valuation</w:t>
        </w:r>
      </w:hyperlink>
      <w:r w:rsidRPr="00250803">
        <w:rPr>
          <w:rFonts w:eastAsia="Times New Roman"/>
          <w:color w:val="7E7E7E"/>
          <w:sz w:val="21"/>
          <w:szCs w:val="21"/>
        </w:rPr>
        <w:br/>
      </w:r>
      <w:r w:rsidRPr="00250803">
        <w:rPr>
          <w:rFonts w:eastAsia="Times New Roman"/>
          <w:i/>
          <w:iCs/>
          <w:sz w:val="21"/>
          <w:szCs w:val="21"/>
        </w:rPr>
        <w:t>Journal of Taxation</w:t>
      </w:r>
      <w:r w:rsidRPr="00250803">
        <w:rPr>
          <w:rFonts w:eastAsia="Times New Roman"/>
          <w:sz w:val="21"/>
          <w:szCs w:val="21"/>
        </w:rPr>
        <w:t>, October 1986</w:t>
      </w:r>
    </w:p>
    <w:p w:rsidRPr="00250803" w:rsidR="00BF0D51" w:rsidP="00560C6D" w:rsidRDefault="00BF0D51">
      <w:pPr>
        <w:rPr>
          <w:rFonts w:eastAsia="Times New Roman"/>
          <w:sz w:val="21"/>
          <w:szCs w:val="21"/>
        </w:rPr>
      </w:pPr>
    </w:p>
    <w:p w:rsidRPr="00250803" w:rsidR="00BF0D51" w:rsidP="00560C6D" w:rsidRDefault="00BF0D51">
      <w:pPr>
        <w:rPr>
          <w:rFonts w:eastAsia="Times New Roman"/>
          <w:b/>
          <w:sz w:val="21"/>
          <w:szCs w:val="21"/>
        </w:rPr>
      </w:pPr>
      <w:r w:rsidRPr="00250803">
        <w:rPr>
          <w:rFonts w:eastAsia="Times New Roman"/>
          <w:b/>
          <w:color w:val="0070C0"/>
          <w:sz w:val="21"/>
          <w:szCs w:val="21"/>
        </w:rPr>
        <w:t>Liabilities in Excess of Basis in Corporate Reorganizations – When Should Gain Be Recognized</w:t>
      </w:r>
    </w:p>
    <w:p w:rsidRPr="00250803" w:rsidR="00BF0D51" w:rsidP="00560C6D" w:rsidRDefault="00BF0D51">
      <w:pPr>
        <w:rPr>
          <w:rFonts w:eastAsia="Times New Roman"/>
          <w:sz w:val="21"/>
          <w:szCs w:val="21"/>
        </w:rPr>
      </w:pPr>
      <w:r w:rsidRPr="00250803">
        <w:rPr>
          <w:rFonts w:eastAsia="Times New Roman"/>
          <w:i/>
          <w:sz w:val="21"/>
          <w:szCs w:val="21"/>
        </w:rPr>
        <w:t>Journal of Corporate Taxation</w:t>
      </w:r>
      <w:r w:rsidRPr="00250803">
        <w:rPr>
          <w:rFonts w:eastAsia="Times New Roman"/>
          <w:sz w:val="21"/>
          <w:szCs w:val="21"/>
        </w:rPr>
        <w:t>, Spring 1979</w:t>
      </w:r>
    </w:p>
    <w:p w:rsidRPr="00250803" w:rsidR="00BF0D51" w:rsidP="00560C6D" w:rsidRDefault="00BF0D51">
      <w:pPr>
        <w:rPr>
          <w:rFonts w:eastAsia="Times New Roman"/>
          <w:sz w:val="21"/>
          <w:szCs w:val="21"/>
        </w:rPr>
      </w:pPr>
    </w:p>
    <w:p w:rsidRPr="00250803" w:rsidR="00BF0D51" w:rsidP="00560C6D" w:rsidRDefault="00BF0D51">
      <w:pPr>
        <w:rPr>
          <w:rFonts w:eastAsia="Times New Roman"/>
          <w:b/>
          <w:sz w:val="21"/>
          <w:szCs w:val="21"/>
        </w:rPr>
      </w:pPr>
      <w:r w:rsidRPr="00250803">
        <w:rPr>
          <w:rFonts w:eastAsia="Times New Roman"/>
          <w:b/>
          <w:color w:val="0070C0"/>
          <w:sz w:val="21"/>
          <w:szCs w:val="21"/>
        </w:rPr>
        <w:t>Logarithms, Exponents and Carryover Basis</w:t>
      </w:r>
    </w:p>
    <w:p w:rsidRPr="00250803" w:rsidR="00BF0D51" w:rsidP="00560C6D" w:rsidRDefault="00BF0D51">
      <w:pPr>
        <w:rPr>
          <w:rFonts w:eastAsia="Times New Roman"/>
          <w:sz w:val="21"/>
          <w:szCs w:val="21"/>
        </w:rPr>
      </w:pPr>
      <w:r w:rsidRPr="00250803">
        <w:rPr>
          <w:rFonts w:eastAsia="Times New Roman"/>
          <w:i/>
          <w:sz w:val="21"/>
          <w:szCs w:val="21"/>
        </w:rPr>
        <w:t>TAXES</w:t>
      </w:r>
      <w:r w:rsidRPr="00250803">
        <w:rPr>
          <w:rFonts w:eastAsia="Times New Roman"/>
          <w:sz w:val="21"/>
          <w:szCs w:val="21"/>
        </w:rPr>
        <w:t>, August 1978</w:t>
      </w:r>
    </w:p>
    <w:p w:rsidRPr="00250803" w:rsidR="00560C6D" w:rsidP="00560C6D" w:rsidRDefault="00560C6D">
      <w:pPr>
        <w:spacing w:before="150" w:after="150"/>
        <w:outlineLvl w:val="0"/>
        <w:rPr>
          <w:rFonts w:eastAsia="Times New Roman"/>
          <w:b/>
          <w:bCs/>
          <w:i/>
          <w:iCs/>
          <w:caps/>
          <w:kern w:val="36"/>
        </w:rPr>
      </w:pPr>
      <w:r w:rsidRPr="00250803">
        <w:rPr>
          <w:rFonts w:eastAsia="Times New Roman"/>
          <w:b/>
          <w:bCs/>
          <w:i/>
          <w:iCs/>
          <w:caps/>
          <w:kern w:val="36"/>
        </w:rPr>
        <w:t>MEMBER</w:t>
      </w:r>
    </w:p>
    <w:p w:rsidRPr="00250803" w:rsidR="00115BF0" w:rsidP="00560C6D" w:rsidRDefault="00560C6D">
      <w:pPr>
        <w:pStyle w:val="BlockText"/>
        <w:jc w:val="left"/>
      </w:pPr>
      <w:r w:rsidRPr="00250803">
        <w:rPr>
          <w:rFonts w:eastAsia="Times New Roman" w:cs="Times New Roman"/>
          <w:iCs w:val="0"/>
          <w:sz w:val="21"/>
          <w:szCs w:val="21"/>
        </w:rPr>
        <w:t>New York City Bar Association</w:t>
      </w:r>
      <w:r w:rsidRPr="00250803">
        <w:rPr>
          <w:rFonts w:eastAsia="Times New Roman" w:cs="Times New Roman"/>
          <w:iCs w:val="0"/>
          <w:sz w:val="21"/>
          <w:szCs w:val="21"/>
        </w:rPr>
        <w:br/>
        <w:t>New York State Bar Association</w:t>
      </w:r>
      <w:r w:rsidRPr="00250803">
        <w:rPr>
          <w:rFonts w:eastAsia="Times New Roman" w:cs="Times New Roman"/>
          <w:iCs w:val="0"/>
          <w:sz w:val="21"/>
          <w:szCs w:val="21"/>
        </w:rPr>
        <w:br/>
        <w:t>New Jersey State Bar Association</w:t>
      </w:r>
      <w:r w:rsidRPr="00250803">
        <w:rPr>
          <w:rFonts w:eastAsia="Times New Roman" w:cs="Times New Roman"/>
          <w:iCs w:val="0"/>
          <w:sz w:val="21"/>
          <w:szCs w:val="21"/>
        </w:rPr>
        <w:br/>
        <w:t>American Bar Association</w:t>
      </w:r>
      <w:r w:rsidRPr="00250803">
        <w:rPr>
          <w:rFonts w:eastAsia="Times New Roman" w:cs="Times New Roman"/>
          <w:iCs w:val="0"/>
          <w:sz w:val="21"/>
          <w:szCs w:val="21"/>
        </w:rPr>
        <w:br/>
        <w:t>The Florida Bar</w:t>
      </w:r>
      <w:r w:rsidRPr="00250803">
        <w:rPr>
          <w:rFonts w:eastAsia="Times New Roman" w:cs="Times New Roman"/>
          <w:iCs w:val="0"/>
          <w:sz w:val="21"/>
          <w:szCs w:val="21"/>
        </w:rPr>
        <w:br/>
        <w:t>Estate Planning Council</w:t>
      </w:r>
      <w:r w:rsidRPr="00250803">
        <w:rPr>
          <w:rFonts w:eastAsia="Times New Roman" w:cs="Times New Roman"/>
          <w:iCs w:val="0"/>
          <w:sz w:val="21"/>
          <w:szCs w:val="21"/>
        </w:rPr>
        <w:br/>
        <w:t>Financial Planning Association</w:t>
      </w:r>
    </w:p>
    <w:sectPr w:rsidRPr="00250803" w:rsidR="00115BF0" w:rsidSect="00DD2643">
      <w:type w:val="continuous"/>
      <w:pgSz w:w="12240" w:h="15840" w:code="1"/>
      <w:pgMar w:top="2160" w:right="1440" w:bottom="576" w:left="1440" w:header="72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AB" w:rsidRDefault="00A761AB">
      <w:r>
        <w:separator/>
      </w:r>
    </w:p>
  </w:endnote>
  <w:endnote w:type="continuationSeparator" w:id="0">
    <w:p w:rsidR="00A761AB" w:rsidRDefault="00A7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03" w:rsidRDefault="002508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441071" w:rsidR="009B60D8" w:rsidP="009B60D8" w:rsidRDefault="0070161C">
    <w:pPr>
      <w:pStyle w:val="Footer"/>
      <w:jc w:val="center"/>
      <w:rPr>
        <w:rFonts w:ascii="Helvetica" w:hAnsi="Helvetica"/>
        <w:color w:val="808080"/>
        <w:sz w:val="16"/>
        <w:szCs w:val="16"/>
      </w:rPr>
    </w:pPr>
    <w:r w:rsidRPr="00441071">
      <w:rPr>
        <w:rFonts w:ascii="Helvetica" w:hAnsi="Helvetica"/>
        <w:color w:val="808080"/>
        <w:sz w:val="16"/>
        <w:szCs w:val="16"/>
      </w:rPr>
      <w:t>Kleinberg, Kaplan, Wolff &amp; Cohen, P.C., 5</w:t>
    </w:r>
    <w:r w:rsidR="00250803">
      <w:rPr>
        <w:rFonts w:ascii="Helvetica" w:hAnsi="Helvetica"/>
        <w:color w:val="808080"/>
        <w:sz w:val="16"/>
        <w:szCs w:val="16"/>
      </w:rPr>
      <w:t>00</w:t>
    </w:r>
    <w:r w:rsidRPr="00441071">
      <w:rPr>
        <w:rFonts w:ascii="Helvetica" w:hAnsi="Helvetica"/>
        <w:color w:val="808080"/>
        <w:sz w:val="16"/>
        <w:szCs w:val="16"/>
      </w:rPr>
      <w:t xml:space="preserve"> Fifth Avenue, New York, NY 101</w:t>
    </w:r>
    <w:r w:rsidR="00250803">
      <w:rPr>
        <w:rFonts w:ascii="Helvetica" w:hAnsi="Helvetica"/>
        <w:color w:val="808080"/>
        <w:sz w:val="16"/>
        <w:szCs w:val="16"/>
      </w:rPr>
      <w:t>10</w:t>
    </w:r>
  </w:p>
  <w:p w:rsidR="001D4B09" w:rsidP="009B60D8" w:rsidRDefault="0070161C">
    <w:pPr>
      <w:pStyle w:val="Footer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 xml:space="preserve">212.986.6000   </w:t>
    </w:r>
    <w:r w:rsidRPr="00441071">
      <w:rPr>
        <w:rFonts w:ascii="Helvetica" w:hAnsi="Helvetica"/>
        <w:color w:val="808080"/>
        <w:sz w:val="16"/>
        <w:szCs w:val="16"/>
      </w:rPr>
      <w:t>kkwc.com</w:t>
    </w:r>
  </w:p>
  <w:p w:rsidRPr="009B60D8" w:rsidR="00B92731" w:rsidP="001D4B09" w:rsidRDefault="001D4B09">
    <w:pPr>
      <w:pStyle w:val="Footer"/>
      <w:jc w:val="left"/>
      <w:rPr>
        <w:rFonts w:ascii="Helvetica" w:hAnsi="Helvetica"/>
        <w:color w:val="808080"/>
        <w:sz w:val="16"/>
        <w:szCs w:val="16"/>
      </w:rPr>
    </w:pPr>
    <w:r w:rsidR="00213597">
      <w:rPr>
        <w:rFonts w:ascii="Helvetica" w:hAnsi="Helvetica"/>
        <w:noProof/>
        <w:color w:val="808080"/>
        <w:sz w:val="18"/>
        <w:szCs w:val="16"/>
      </w:rPr>
      <w:t>377583.1 - 02/28/20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441071" w:rsidR="009B60D8" w:rsidP="009B60D8" w:rsidRDefault="0070161C">
    <w:pPr>
      <w:pStyle w:val="Footer"/>
      <w:jc w:val="center"/>
      <w:rPr>
        <w:rFonts w:ascii="Helvetica" w:hAnsi="Helvetica"/>
        <w:color w:val="808080"/>
        <w:sz w:val="16"/>
        <w:szCs w:val="16"/>
      </w:rPr>
    </w:pPr>
    <w:r w:rsidRPr="00441071">
      <w:rPr>
        <w:rFonts w:ascii="Helvetica" w:hAnsi="Helvetica"/>
        <w:color w:val="808080"/>
        <w:sz w:val="16"/>
        <w:szCs w:val="16"/>
      </w:rPr>
      <w:t>Kleinberg, Kaplan, Wolff &amp; Cohen, P.C., 5</w:t>
    </w:r>
    <w:r w:rsidR="00250803">
      <w:rPr>
        <w:rFonts w:ascii="Helvetica" w:hAnsi="Helvetica"/>
        <w:color w:val="808080"/>
        <w:sz w:val="16"/>
        <w:szCs w:val="16"/>
      </w:rPr>
      <w:t>00</w:t>
    </w:r>
    <w:r w:rsidRPr="00441071">
      <w:rPr>
        <w:rFonts w:ascii="Helvetica" w:hAnsi="Helvetica"/>
        <w:color w:val="808080"/>
        <w:sz w:val="16"/>
        <w:szCs w:val="16"/>
      </w:rPr>
      <w:t xml:space="preserve"> Fifth Avenue, New York, NY 101</w:t>
    </w:r>
    <w:r w:rsidR="00250803">
      <w:rPr>
        <w:rFonts w:ascii="Helvetica" w:hAnsi="Helvetica"/>
        <w:color w:val="808080"/>
        <w:sz w:val="16"/>
        <w:szCs w:val="16"/>
      </w:rPr>
      <w:t>10</w:t>
    </w:r>
  </w:p>
  <w:p w:rsidR="001D4B09" w:rsidP="009B60D8" w:rsidRDefault="0070161C">
    <w:pPr>
      <w:pStyle w:val="Footer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 xml:space="preserve">212.986.6000   </w:t>
    </w:r>
    <w:r w:rsidRPr="00441071">
      <w:rPr>
        <w:rFonts w:ascii="Helvetica" w:hAnsi="Helvetica"/>
        <w:color w:val="808080"/>
        <w:sz w:val="16"/>
        <w:szCs w:val="16"/>
      </w:rPr>
      <w:t>kkwc.com</w:t>
    </w:r>
  </w:p>
  <w:p w:rsidRPr="009B60D8" w:rsidR="00CA3BAF" w:rsidP="001D4B09" w:rsidRDefault="001D4B09">
    <w:pPr>
      <w:pStyle w:val="Footer"/>
      <w:jc w:val="left"/>
      <w:rPr>
        <w:rFonts w:ascii="Helvetica" w:hAnsi="Helvetica"/>
        <w:color w:val="808080"/>
        <w:sz w:val="16"/>
        <w:szCs w:val="16"/>
      </w:rPr>
    </w:pPr>
    <w:r w:rsidR="00213597">
      <w:rPr>
        <w:rFonts w:ascii="Helvetica" w:hAnsi="Helvetica"/>
        <w:noProof/>
        <w:color w:val="808080"/>
        <w:sz w:val="18"/>
        <w:szCs w:val="16"/>
      </w:rPr>
      <w:t>377583.1 - 02/28/20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AB" w:rsidRDefault="00A761AB">
      <w:r>
        <w:separator/>
      </w:r>
    </w:p>
  </w:footnote>
  <w:footnote w:type="continuationSeparator" w:id="0">
    <w:p w:rsidR="00A761AB" w:rsidRDefault="00A76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03" w:rsidRDefault="00250803">
    <w:pPr>
      <w:pStyle w:val="Header"/>
    </w:pPr>
  </w:p>
</w:hdr>
</file>

<file path=word/header2.xml><?xml version="1.0" encoding="utf-8"?>
<w:hd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6D0309" w:rsidR="006C2DBD" w:rsidP="006C2DBD" w:rsidRDefault="007016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79843D43" wp14:anchorId="0780F6AF">
              <wp:simplePos x="0" y="0"/>
              <wp:positionH relativeFrom="column">
                <wp:posOffset>-1000125</wp:posOffset>
              </wp:positionH>
              <wp:positionV relativeFrom="paragraph">
                <wp:posOffset>811530</wp:posOffset>
              </wp:positionV>
              <wp:extent cx="8153400" cy="635"/>
              <wp:effectExtent l="9525" t="11430" r="9525" b="6985"/>
              <wp:wrapNone/>
              <wp:docPr id="2" name="AutoShape 3" descr="" titl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5340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oned="t" filled="f" o:spt="32" path="m,l21600,21600e">
              <v:path fillok="f" arrowok="t" o:connecttype="none"/>
              <o:lock v:ext="edit" shapetype="t"/>
            </v:shapetype>
            <v:shape id="AutoShape 3" style="position:absolute;margin-left:-78.75pt;margin-top:63.9pt;width:64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alt="" o:spid="_x0000_s1026" strokecolor="#d8d8d8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">
              <v:shadow color="#7f7f7f" opacity=".5" offset="1pt"/>
            </v:shape>
          </w:pict>
        </mc:Fallback>
      </mc:AlternateContent>
    </w:r>
    <w:r>
      <w:rPr>
        <w:noProof/>
      </w:rPr>
      <w:drawing>
        <wp:inline distT="0" distB="0" distL="0" distR="0" wp14:anchorId="612F1B30" wp14:editId="6732F732">
          <wp:extent cx="1901190" cy="570230"/>
          <wp:effectExtent l="0" t="0" r="0" b="0"/>
          <wp:docPr id="5" name="Picture 5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inal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9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5F" w:rsidRDefault="0070161C">
    <w:pPr>
      <w:pStyle w:val="Header"/>
      <w:rPr>
        <w:noProof/>
        <w:lang w:bidi="he-I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6C0D036A" wp14:anchorId="2942358C">
              <wp:simplePos x="0" y="0"/>
              <wp:positionH relativeFrom="column">
                <wp:posOffset>-1000125</wp:posOffset>
              </wp:positionH>
              <wp:positionV relativeFrom="paragraph">
                <wp:posOffset>811530</wp:posOffset>
              </wp:positionV>
              <wp:extent cx="8153400" cy="635"/>
              <wp:effectExtent l="9525" t="11430" r="9525" b="6985"/>
              <wp:wrapNone/>
              <wp:docPr id="1" name="AutoShape 2" descr="" titl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5340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oned="t" filled="f" o:spt="32" path="m,l21600,21600e">
              <v:path fillok="f" arrowok="t" o:connecttype="none"/>
              <o:lock v:ext="edit" shapetype="t"/>
            </v:shapetype>
            <v:shape id="AutoShape 2" style="position:absolute;margin-left:-78.75pt;margin-top:63.9pt;width:64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alt="" o:spid="_x0000_s1026" strokecolor="#d8d8d8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">
              <v:shadow color="#7f7f7f" opacity=".5" offset="1pt"/>
            </v:shape>
          </w:pict>
        </mc:Fallback>
      </mc:AlternateContent>
    </w:r>
    <w:r>
      <w:rPr>
        <w:noProof/>
      </w:rPr>
      <w:drawing>
        <wp:inline distT="0" distB="0" distL="0" distR="0" wp14:anchorId="4A48E541" wp14:editId="698FD018">
          <wp:extent cx="1901190" cy="570230"/>
          <wp:effectExtent l="0" t="0" r="0" b="0"/>
          <wp:docPr id="6" name="Picture 6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nal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9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72BCA"/>
    <w:multiLevelType w:val="multilevel"/>
    <w:tmpl w:val="91863528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pStyle w:val="Bullet2"/>
      <w:lvlText w:val="o"/>
      <w:lvlJc w:val="left"/>
      <w:pPr>
        <w:tabs>
          <w:tab w:val="num" w:pos="1440"/>
        </w:tabs>
        <w:ind w:left="2160" w:hanging="72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Bullet3"/>
      <w:lvlText w:val="-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none"/>
      <w:lvlRestart w:val="0"/>
      <w:lvlText w:val="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lvlText w:val=""/>
      <w:lvlJc w:val="left"/>
      <w:pPr>
        <w:tabs>
          <w:tab w:val="num" w:pos="3960"/>
        </w:tabs>
        <w:ind w:left="39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lvlText w:val=""/>
      <w:lvlJc w:val="left"/>
      <w:pPr>
        <w:tabs>
          <w:tab w:val="num" w:pos="4680"/>
        </w:tabs>
        <w:ind w:left="46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54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61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>
    <w:nsid w:val="54D47DA1"/>
    <w:multiLevelType w:val="multilevel"/>
    <w:tmpl w:val="B18A84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720"/>
        </w:tabs>
        <w:ind w:left="720"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720"/>
        </w:tabs>
        <w:ind w:left="720" w:firstLine="21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720"/>
        </w:tabs>
        <w:ind w:left="1440" w:firstLine="21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720"/>
        </w:tabs>
        <w:ind w:left="2160" w:firstLine="21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720"/>
        </w:tabs>
        <w:ind w:left="2880" w:firstLine="21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Roman"/>
      <w:pStyle w:val="Heading7"/>
      <w:lvlText w:val="%7."/>
      <w:lvlJc w:val="left"/>
      <w:pPr>
        <w:tabs>
          <w:tab w:val="num" w:pos="720"/>
        </w:tabs>
        <w:ind w:left="3600" w:firstLine="21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720"/>
        </w:tabs>
        <w:ind w:left="4320" w:firstLine="21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720"/>
        </w:tabs>
        <w:ind w:left="5040" w:firstLine="21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removePersonalInformation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</w:docVars>
  <w:rsids>
    <w:rsidRoot w:val="0070161C"/>
    <w:rsid w:val="000A2216"/>
    <w:rsid w:val="00115BF0"/>
    <w:rsid w:val="001D4B09"/>
    <w:rsid w:val="001E61C7"/>
    <w:rsid w:val="00202D9D"/>
    <w:rsid w:val="00213597"/>
    <w:rsid w:val="00250803"/>
    <w:rsid w:val="00352240"/>
    <w:rsid w:val="0040720C"/>
    <w:rsid w:val="00426318"/>
    <w:rsid w:val="004F5BF8"/>
    <w:rsid w:val="00502EEB"/>
    <w:rsid w:val="00560C6D"/>
    <w:rsid w:val="00570653"/>
    <w:rsid w:val="00590A9E"/>
    <w:rsid w:val="00610335"/>
    <w:rsid w:val="00694D4E"/>
    <w:rsid w:val="006D6953"/>
    <w:rsid w:val="0070161C"/>
    <w:rsid w:val="00725BFA"/>
    <w:rsid w:val="007B1CF6"/>
    <w:rsid w:val="00882E88"/>
    <w:rsid w:val="00916AA8"/>
    <w:rsid w:val="0093534E"/>
    <w:rsid w:val="00A761AB"/>
    <w:rsid w:val="00AA44D3"/>
    <w:rsid w:val="00AE735A"/>
    <w:rsid w:val="00B072AC"/>
    <w:rsid w:val="00B317AE"/>
    <w:rsid w:val="00B75066"/>
    <w:rsid w:val="00B755B1"/>
    <w:rsid w:val="00BB53D4"/>
    <w:rsid w:val="00BC768B"/>
    <w:rsid w:val="00BF0D51"/>
    <w:rsid w:val="00C27D39"/>
    <w:rsid w:val="00C75D5B"/>
    <w:rsid w:val="00CB39B8"/>
    <w:rsid w:val="00D56F4D"/>
    <w:rsid w:val="00ED12FC"/>
    <w:rsid w:val="00F115D5"/>
    <w:rsid w:val="00FC0B47"/>
    <w:rsid w:val="00FC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nhideWhenUsed="0" w:qFormat="1"/>
    <w:lsdException w:name="Signature" w:uiPriority="9" w:semiHidden="0" w:unhideWhenUsed="0" w:qFormat="1"/>
    <w:lsdException w:name="Default Paragraph Font" w:uiPriority="1"/>
    <w:lsdException w:name="Body Text" w:uiPriority="2" w:qFormat="1"/>
    <w:lsdException w:name="Subtitle" w:unhideWhenUsed="0" w:qFormat="1"/>
    <w:lsdException w:name="Body Text 2" w:uiPriority="2" w:semiHidden="0" w:unhideWhenUsed="0" w:qFormat="1"/>
    <w:lsdException w:name="Block Text" w:uiPriority="3" w:qFormat="1"/>
    <w:lsdException w:name="Strong" w:uiPriority="22" w:unhideWhenUsed="0" w:qFormat="1"/>
    <w:lsdException w:name="Emphasis" w:uiPriority="20" w:unhideWhenUsed="0" w:qFormat="1"/>
    <w:lsdException w:name="Table Grid" w:uiPriority="59" w:semiHidden="0" w:unhideWhenUsed="0"/>
    <w:lsdException w:name="Placeholder Text" w:unhideWhenUsed="0"/>
    <w:lsdException w:name="No Spacing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nhideWhenUsed="0" w:qFormat="1"/>
    <w:lsdException w:name="Quote" w:uiPriority="11" w:semiHidden="0" w:unhideWhenUsed="0" w:qFormat="1"/>
    <w:lsdException w:name="Intense Quote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161C"/>
    <w:pPr>
      <w:spacing w:after="0"/>
      <w:jc w:val="left"/>
    </w:pPr>
    <w:rPr>
      <w:rFonts w:eastAsia="Calibri" w:cs="Times New Roman"/>
    </w:rPr>
  </w:style>
  <w:style w:type="paragraph" w:styleId="Heading1">
    <w:name w:val="heading 1"/>
    <w:next w:val="BodyText"/>
    <w:link w:val="Heading1Char"/>
    <w:uiPriority w:val="9"/>
    <w:qFormat/>
    <w:pPr>
      <w:numPr>
        <w:numId w:val="11"/>
      </w:num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next w:val="BodyText"/>
    <w:link w:val="Heading2Char"/>
    <w:uiPriority w:val="99"/>
    <w:semiHidden/>
    <w:qFormat/>
    <w:pPr>
      <w:numPr>
        <w:ilvl w:val="1"/>
        <w:numId w:val="11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next w:val="BodyText"/>
    <w:link w:val="Heading3Char"/>
    <w:uiPriority w:val="99"/>
    <w:semiHidden/>
    <w:qFormat/>
    <w:pPr>
      <w:numPr>
        <w:ilvl w:val="2"/>
        <w:numId w:val="11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next w:val="BodyText"/>
    <w:link w:val="Heading4Char"/>
    <w:uiPriority w:val="99"/>
    <w:semiHidden/>
    <w:qFormat/>
    <w:pPr>
      <w:numPr>
        <w:ilvl w:val="3"/>
        <w:numId w:val="11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next w:val="BodyText"/>
    <w:link w:val="Heading5Char"/>
    <w:uiPriority w:val="99"/>
    <w:semiHidden/>
    <w:qFormat/>
    <w:pPr>
      <w:numPr>
        <w:ilvl w:val="4"/>
        <w:numId w:val="11"/>
      </w:numPr>
      <w:outlineLvl w:val="4"/>
    </w:pPr>
    <w:rPr>
      <w:rFonts w:eastAsiaTheme="majorEastAsia" w:cstheme="majorBidi"/>
    </w:rPr>
  </w:style>
  <w:style w:type="paragraph" w:styleId="Heading6">
    <w:name w:val="heading 6"/>
    <w:next w:val="BodyText"/>
    <w:link w:val="Heading6Char"/>
    <w:uiPriority w:val="99"/>
    <w:semiHidden/>
    <w:qFormat/>
    <w:pPr>
      <w:numPr>
        <w:ilvl w:val="5"/>
        <w:numId w:val="11"/>
      </w:numPr>
      <w:outlineLvl w:val="5"/>
    </w:pPr>
    <w:rPr>
      <w:rFonts w:eastAsiaTheme="majorEastAsia" w:cstheme="majorBidi"/>
      <w:iCs/>
    </w:rPr>
  </w:style>
  <w:style w:type="paragraph" w:styleId="Heading7">
    <w:name w:val="heading 7"/>
    <w:next w:val="BodyText"/>
    <w:link w:val="Heading7Char"/>
    <w:uiPriority w:val="99"/>
    <w:semiHidden/>
    <w:qFormat/>
    <w:pPr>
      <w:numPr>
        <w:ilvl w:val="6"/>
        <w:numId w:val="11"/>
      </w:numPr>
      <w:outlineLvl w:val="6"/>
    </w:pPr>
    <w:rPr>
      <w:rFonts w:eastAsiaTheme="majorEastAsia" w:cstheme="majorBidi"/>
      <w:iCs/>
    </w:rPr>
  </w:style>
  <w:style w:type="paragraph" w:styleId="Heading8">
    <w:name w:val="heading 8"/>
    <w:next w:val="BodyText"/>
    <w:link w:val="Heading8Char"/>
    <w:uiPriority w:val="99"/>
    <w:semiHidden/>
    <w:qFormat/>
    <w:pPr>
      <w:numPr>
        <w:ilvl w:val="7"/>
        <w:numId w:val="11"/>
      </w:numPr>
      <w:outlineLvl w:val="7"/>
    </w:pPr>
    <w:rPr>
      <w:rFonts w:eastAsiaTheme="majorEastAsia" w:cstheme="majorBidi"/>
      <w:szCs w:val="20"/>
    </w:rPr>
  </w:style>
  <w:style w:type="paragraph" w:styleId="Heading9">
    <w:name w:val="heading 9"/>
    <w:next w:val="BodyText"/>
    <w:link w:val="Heading9Char"/>
    <w:uiPriority w:val="99"/>
    <w:semiHidden/>
    <w:qFormat/>
    <w:pPr>
      <w:numPr>
        <w:ilvl w:val="8"/>
        <w:numId w:val="11"/>
      </w:numPr>
      <w:outlineLvl w:val="8"/>
    </w:pPr>
    <w:rPr>
      <w:rFonts w:eastAsiaTheme="majorEastAsia" w:cstheme="majorBidi"/>
      <w:i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lockText">
    <w:name w:val="Block Text"/>
    <w:uiPriority w:val="3"/>
    <w:qFormat/>
    <w:rPr>
      <w:rFonts w:eastAsiaTheme="minorEastAsia"/>
      <w:iCs/>
    </w:rPr>
  </w:style>
  <w:style w:type="paragraph" w:styleId="Bullet3" w:customStyle="1">
    <w:name w:val="Bullet3"/>
    <w:basedOn w:val="Normal"/>
    <w:link w:val="Bullet3Char"/>
    <w:uiPriority w:val="11"/>
    <w:pPr>
      <w:numPr>
        <w:ilvl w:val="2"/>
        <w:numId w:val="14"/>
      </w:numPr>
      <w:outlineLvl w:val="2"/>
    </w:pPr>
  </w:style>
  <w:style w:type="character" w:styleId="Bullet3Char" w:customStyle="1">
    <w:name w:val="Bullet3 Char"/>
    <w:basedOn w:val="DefaultParagraphFont"/>
    <w:link w:val="Bullet3"/>
    <w:uiPriority w:val="11"/>
    <w:rPr>
      <w:rFonts w:cs="Times New Roman"/>
    </w:rPr>
  </w:style>
  <w:style w:type="paragraph" w:styleId="Bullet2" w:customStyle="1">
    <w:name w:val="Bullet2"/>
    <w:basedOn w:val="Normal"/>
    <w:link w:val="Bullet2Char"/>
    <w:uiPriority w:val="11"/>
    <w:pPr>
      <w:numPr>
        <w:ilvl w:val="1"/>
        <w:numId w:val="14"/>
      </w:numPr>
      <w:outlineLvl w:val="1"/>
    </w:pPr>
  </w:style>
  <w:style w:type="character" w:styleId="Bullet2Char" w:customStyle="1">
    <w:name w:val="Bullet2 Char"/>
    <w:basedOn w:val="DefaultParagraphFont"/>
    <w:link w:val="Bullet2"/>
    <w:uiPriority w:val="11"/>
    <w:rPr>
      <w:rFonts w:cs="Times New Roman"/>
    </w:rPr>
  </w:style>
  <w:style w:type="paragraph" w:styleId="Bullet1" w:customStyle="1">
    <w:name w:val="Bullet1"/>
    <w:basedOn w:val="Normal"/>
    <w:link w:val="Bullet1Char"/>
    <w:uiPriority w:val="11"/>
    <w:pPr>
      <w:numPr>
        <w:numId w:val="14"/>
      </w:numPr>
      <w:outlineLvl w:val="0"/>
    </w:pPr>
  </w:style>
  <w:style w:type="character" w:styleId="Bullet1Char" w:customStyle="1">
    <w:name w:val="Bullet1 Char"/>
    <w:basedOn w:val="DefaultParagraphFont"/>
    <w:link w:val="Bullet1"/>
    <w:uiPriority w:val="11"/>
    <w:rPr>
      <w:rFonts w:cs="Times New Roman"/>
    </w:rPr>
  </w:style>
  <w:style w:type="paragraph" w:styleId="BodyText">
    <w:name w:val="Body Text"/>
    <w:link w:val="BodyTextChar"/>
    <w:uiPriority w:val="2"/>
    <w:qFormat/>
    <w:pPr>
      <w:ind w:firstLine="720"/>
    </w:pPr>
  </w:style>
  <w:style w:type="character" w:styleId="BodyTextChar" w:customStyle="1">
    <w:name w:val="Body Text Char"/>
    <w:basedOn w:val="DefaultParagraphFont"/>
    <w:link w:val="BodyText"/>
    <w:uiPriority w:val="2"/>
  </w:style>
  <w:style w:type="paragraph" w:styleId="CenterB" w:customStyle="1">
    <w:name w:val="Center B"/>
    <w:uiPriority w:val="9"/>
    <w:qFormat/>
    <w:pPr>
      <w:jc w:val="center"/>
    </w:pPr>
    <w:rPr>
      <w:rFonts w:eastAsiaTheme="minorEastAsia"/>
      <w:b/>
      <w:iCs/>
    </w:rPr>
  </w:style>
  <w:style w:type="paragraph" w:styleId="CenterU" w:customStyle="1">
    <w:name w:val="Center U"/>
    <w:uiPriority w:val="8"/>
    <w:qFormat/>
    <w:pPr>
      <w:jc w:val="center"/>
    </w:pPr>
    <w:rPr>
      <w:rFonts w:eastAsiaTheme="minorEastAsia"/>
      <w:iCs/>
      <w:u w:val="single"/>
    </w:rPr>
  </w:style>
  <w:style w:type="paragraph" w:styleId="Quote">
    <w:name w:val="Quote"/>
    <w:next w:val="BlockText"/>
    <w:link w:val="QuoteChar"/>
    <w:uiPriority w:val="11"/>
    <w:qFormat/>
    <w:pPr>
      <w:ind w:left="1440" w:right="1440"/>
    </w:pPr>
    <w:rPr>
      <w:iCs/>
    </w:rPr>
  </w:style>
  <w:style w:type="character" w:styleId="QuoteChar" w:customStyle="1">
    <w:name w:val="Quote Char"/>
    <w:basedOn w:val="DefaultParagraphFont"/>
    <w:link w:val="Quote"/>
    <w:uiPriority w:val="11"/>
    <w:rPr>
      <w:iCs/>
    </w:rPr>
  </w:style>
  <w:style w:type="paragraph" w:styleId="BodyTextDouble" w:customStyle="1">
    <w:name w:val="Body Text Double"/>
    <w:uiPriority w:val="2"/>
    <w:qFormat/>
    <w:pPr>
      <w:spacing w:line="480" w:lineRule="auto"/>
      <w:ind w:firstLine="720"/>
    </w:pPr>
  </w:style>
  <w:style w:type="paragraph" w:styleId="BodyText2">
    <w:name w:val="Body Text 2"/>
    <w:link w:val="BodyText2Char"/>
    <w:uiPriority w:val="2"/>
    <w:qFormat/>
    <w:pPr>
      <w:ind w:firstLine="1440"/>
    </w:pPr>
  </w:style>
  <w:style w:type="character" w:styleId="BodyText2Char" w:customStyle="1">
    <w:name w:val="Body Text 2 Char"/>
    <w:basedOn w:val="DefaultParagraphFont"/>
    <w:link w:val="BodyText2"/>
    <w:uiPriority w:val="2"/>
  </w:style>
  <w:style w:type="paragraph" w:styleId="CenterBCAPS" w:customStyle="1">
    <w:name w:val="Center B CAPS"/>
    <w:uiPriority w:val="9"/>
    <w:qFormat/>
    <w:pPr>
      <w:jc w:val="center"/>
    </w:pPr>
    <w:rPr>
      <w:b/>
      <w:caps/>
    </w:rPr>
  </w:style>
  <w:style w:type="paragraph" w:styleId="BlockTextCAPS" w:customStyle="1">
    <w:name w:val="Block Text CAPS"/>
    <w:uiPriority w:val="4"/>
    <w:qFormat/>
    <w:rPr>
      <w:caps/>
    </w:rPr>
  </w:style>
  <w:style w:type="paragraph" w:styleId="CenterBUCaps" w:customStyle="1">
    <w:name w:val="Center BU Caps"/>
    <w:uiPriority w:val="9"/>
    <w:qFormat/>
    <w:pPr>
      <w:jc w:val="center"/>
    </w:pPr>
    <w:rPr>
      <w:b/>
      <w:caps/>
      <w:u w:val="single"/>
    </w:rPr>
  </w:style>
  <w:style w:type="paragraph" w:styleId="SubtitleLeftB" w:customStyle="1">
    <w:name w:val="Subtitle Left B"/>
    <w:uiPriority w:val="9"/>
    <w:qFormat/>
    <w:pPr>
      <w:jc w:val="left"/>
    </w:pPr>
    <w:rPr>
      <w:b/>
    </w:rPr>
  </w:style>
  <w:style w:type="paragraph" w:styleId="CenterText" w:customStyle="1">
    <w:name w:val="Center Text"/>
    <w:uiPriority w:val="8"/>
    <w:qFormat/>
    <w:pPr>
      <w:jc w:val="center"/>
    </w:pPr>
  </w:style>
  <w:style w:type="paragraph" w:styleId="CenterBU" w:customStyle="1">
    <w:name w:val="Center BU"/>
    <w:uiPriority w:val="9"/>
    <w:qFormat/>
    <w:pPr>
      <w:jc w:val="center"/>
    </w:pPr>
    <w:rPr>
      <w:b/>
      <w:u w:val="single"/>
    </w:rPr>
  </w:style>
  <w:style w:type="paragraph" w:styleId="SubtitleLeftBU" w:customStyle="1">
    <w:name w:val="Subtitle Left BU"/>
    <w:uiPriority w:val="9"/>
    <w:qFormat/>
    <w:pPr>
      <w:jc w:val="left"/>
    </w:pPr>
    <w:rPr>
      <w:b/>
      <w:u w:val="single"/>
    </w:rPr>
  </w:style>
  <w:style w:type="paragraph" w:styleId="FlushRight" w:customStyle="1">
    <w:name w:val="Flush Right"/>
    <w:uiPriority w:val="11"/>
    <w:qFormat/>
    <w:pPr>
      <w:jc w:val="right"/>
    </w:pPr>
  </w:style>
  <w:style w:type="paragraph" w:styleId="Signature">
    <w:name w:val="Signature"/>
    <w:basedOn w:val="Normal"/>
    <w:link w:val="SignatureChar"/>
    <w:uiPriority w:val="9"/>
    <w:qFormat/>
    <w:pPr>
      <w:spacing w:after="240"/>
      <w:ind w:left="4320"/>
    </w:pPr>
    <w:rPr>
      <w:rFonts w:eastAsiaTheme="minorHAnsi" w:cstheme="minorBidi"/>
    </w:rPr>
  </w:style>
  <w:style w:type="character" w:styleId="SignatureChar" w:customStyle="1">
    <w:name w:val="Signature Char"/>
    <w:basedOn w:val="DefaultParagraphFont"/>
    <w:link w:val="Signature"/>
    <w:uiPriority w:val="9"/>
  </w:style>
  <w:style w:type="paragraph" w:styleId="FlushLeft" w:customStyle="1">
    <w:name w:val="Flush Left"/>
    <w:uiPriority w:val="11"/>
    <w:qFormat/>
    <w:pPr>
      <w:jc w:val="left"/>
    </w:pPr>
  </w:style>
  <w:style w:type="character" w:styleId="Heading1Char" w:customStyle="1">
    <w:name w:val="Heading 1 Char"/>
    <w:basedOn w:val="DefaultParagraphFont"/>
    <w:link w:val="Heading1"/>
    <w:uiPriority w:val="9"/>
    <w:rPr>
      <w:rFonts w:eastAsiaTheme="majorEastAsia" w:cstheme="majorBidi"/>
      <w:bCs/>
      <w:szCs w:val="28"/>
    </w:rPr>
  </w:style>
  <w:style w:type="character" w:styleId="Heading2Char" w:customStyle="1">
    <w:name w:val="Heading 2 Char"/>
    <w:basedOn w:val="DefaultParagraphFont"/>
    <w:link w:val="Heading2"/>
    <w:uiPriority w:val="99"/>
    <w:semiHidden/>
    <w:rPr>
      <w:rFonts w:eastAsiaTheme="majorEastAsia" w:cstheme="majorBidi"/>
      <w:bCs/>
      <w:szCs w:val="26"/>
    </w:rPr>
  </w:style>
  <w:style w:type="character" w:styleId="Heading3Char" w:customStyle="1">
    <w:name w:val="Heading 3 Char"/>
    <w:basedOn w:val="DefaultParagraphFont"/>
    <w:link w:val="Heading3"/>
    <w:uiPriority w:val="99"/>
    <w:semiHidden/>
    <w:rPr>
      <w:rFonts w:eastAsiaTheme="majorEastAsia" w:cstheme="majorBidi"/>
      <w:bCs/>
    </w:rPr>
  </w:style>
  <w:style w:type="character" w:styleId="Heading4Char" w:customStyle="1">
    <w:name w:val="Heading 4 Char"/>
    <w:basedOn w:val="DefaultParagraphFont"/>
    <w:link w:val="Heading4"/>
    <w:uiPriority w:val="99"/>
    <w:semiHidden/>
    <w:rPr>
      <w:rFonts w:eastAsiaTheme="majorEastAsia" w:cstheme="majorBidi"/>
      <w:bCs/>
      <w:iCs/>
    </w:rPr>
  </w:style>
  <w:style w:type="character" w:styleId="Heading5Char" w:customStyle="1">
    <w:name w:val="Heading 5 Char"/>
    <w:basedOn w:val="DefaultParagraphFont"/>
    <w:link w:val="Heading5"/>
    <w:uiPriority w:val="99"/>
    <w:semiHidden/>
    <w:rPr>
      <w:rFonts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9"/>
    <w:semiHidden/>
    <w:rPr>
      <w:rFonts w:eastAsiaTheme="majorEastAsia" w:cstheme="majorBidi"/>
      <w:iCs/>
    </w:rPr>
  </w:style>
  <w:style w:type="character" w:styleId="Heading7Char" w:customStyle="1">
    <w:name w:val="Heading 7 Char"/>
    <w:basedOn w:val="DefaultParagraphFont"/>
    <w:link w:val="Heading7"/>
    <w:uiPriority w:val="99"/>
    <w:semiHidden/>
    <w:rPr>
      <w:rFonts w:eastAsiaTheme="majorEastAsia" w:cstheme="majorBidi"/>
      <w:iCs/>
    </w:rPr>
  </w:style>
  <w:style w:type="character" w:styleId="Heading8Char" w:customStyle="1">
    <w:name w:val="Heading 8 Char"/>
    <w:basedOn w:val="DefaultParagraphFont"/>
    <w:link w:val="Heading8"/>
    <w:uiPriority w:val="99"/>
    <w:semiHidden/>
    <w:rPr>
      <w:rFonts w:eastAsiaTheme="majorEastAsia" w:cstheme="majorBidi"/>
      <w:szCs w:val="20"/>
    </w:rPr>
  </w:style>
  <w:style w:type="character" w:styleId="Heading9Char" w:customStyle="1">
    <w:name w:val="Heading 9 Char"/>
    <w:basedOn w:val="DefaultParagraphFont"/>
    <w:link w:val="Heading9"/>
    <w:uiPriority w:val="99"/>
    <w:semiHidden/>
    <w:rPr>
      <w:rFonts w:eastAsiaTheme="majorEastAsia" w:cstheme="majorBidi"/>
      <w:iCs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FootnoteReference">
    <w:name w:val="footnote reference"/>
    <w:rsid w:val="00F115D5"/>
    <w:rPr>
      <w:caps w:val="0"/>
      <w:smallCaps w:val="0"/>
      <w:strike w:val="0"/>
      <w:dstrike w:val="0"/>
      <w:vanish w:val="0"/>
      <w:vertAlign w:val="superscript"/>
    </w:rPr>
  </w:style>
  <w:style w:type="paragraph" w:styleId="FootnoteText">
    <w:name w:val="footnote text"/>
    <w:link w:val="FootnoteTextChar"/>
    <w:rsid w:val="00F115D5"/>
    <w:rPr>
      <w:sz w:val="20"/>
    </w:rPr>
  </w:style>
  <w:style w:type="character" w:styleId="FootnoteTextChar" w:customStyle="1">
    <w:name w:val="Footnote Text Char"/>
    <w:basedOn w:val="DefaultParagraphFont"/>
    <w:link w:val="FootnoteText"/>
    <w:rsid w:val="00F115D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61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0161C"/>
    <w:rPr>
      <w:rFonts w:ascii="Tahoma" w:hAnsi="Tahoma" w:eastAsia="Calibri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60C6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0C6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60C6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0C6D"/>
    <w:pPr>
      <w:spacing w:before="100" w:beforeAutospacing="1" w:after="100" w:afterAutospacing="1"/>
    </w:pPr>
    <w:rPr>
      <w:rFonts w:eastAsia="Times New Roman"/>
    </w:rPr>
  </w:style>
  <w:style w:type="character" w:styleId="Date1" w:customStyle="1">
    <w:name w:val="Date1"/>
    <w:basedOn w:val="DefaultParagraphFont"/>
    <w:rsid w:val="0056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nhideWhenUsed="0" w:qFormat="1"/>
    <w:lsdException w:name="Signature" w:semiHidden="0" w:uiPriority="9" w:unhideWhenUsed="0" w:qFormat="1"/>
    <w:lsdException w:name="Default Paragraph Font" w:uiPriority="1"/>
    <w:lsdException w:name="Body Text" w:uiPriority="2" w:qFormat="1"/>
    <w:lsdException w:name="Subtitle" w:unhideWhenUsed="0" w:qFormat="1"/>
    <w:lsdException w:name="Body Text 2" w:semiHidden="0" w:uiPriority="2" w:unhideWhenUsed="0" w:qFormat="1"/>
    <w:lsdException w:name="Block Text" w:uiPriority="3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semiHidden="0" w:uiPriority="11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61C"/>
    <w:pPr>
      <w:spacing w:after="0"/>
      <w:jc w:val="left"/>
    </w:pPr>
    <w:rPr>
      <w:rFonts w:eastAsia="Calibri" w:cs="Times New Roman"/>
    </w:rPr>
  </w:style>
  <w:style w:type="paragraph" w:styleId="Heading1">
    <w:name w:val="heading 1"/>
    <w:next w:val="BodyText"/>
    <w:link w:val="Heading1Char"/>
    <w:uiPriority w:val="9"/>
    <w:qFormat/>
    <w:pPr>
      <w:numPr>
        <w:numId w:val="11"/>
      </w:num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next w:val="BodyText"/>
    <w:link w:val="Heading2Char"/>
    <w:uiPriority w:val="99"/>
    <w:semiHidden/>
    <w:qFormat/>
    <w:pPr>
      <w:numPr>
        <w:ilvl w:val="1"/>
        <w:numId w:val="11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next w:val="BodyText"/>
    <w:link w:val="Heading3Char"/>
    <w:uiPriority w:val="99"/>
    <w:semiHidden/>
    <w:qFormat/>
    <w:pPr>
      <w:numPr>
        <w:ilvl w:val="2"/>
        <w:numId w:val="11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next w:val="BodyText"/>
    <w:link w:val="Heading4Char"/>
    <w:uiPriority w:val="99"/>
    <w:semiHidden/>
    <w:qFormat/>
    <w:pPr>
      <w:numPr>
        <w:ilvl w:val="3"/>
        <w:numId w:val="11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next w:val="BodyText"/>
    <w:link w:val="Heading5Char"/>
    <w:uiPriority w:val="99"/>
    <w:semiHidden/>
    <w:qFormat/>
    <w:pPr>
      <w:numPr>
        <w:ilvl w:val="4"/>
        <w:numId w:val="11"/>
      </w:numPr>
      <w:outlineLvl w:val="4"/>
    </w:pPr>
    <w:rPr>
      <w:rFonts w:eastAsiaTheme="majorEastAsia" w:cstheme="majorBidi"/>
    </w:rPr>
  </w:style>
  <w:style w:type="paragraph" w:styleId="Heading6">
    <w:name w:val="heading 6"/>
    <w:next w:val="BodyText"/>
    <w:link w:val="Heading6Char"/>
    <w:uiPriority w:val="99"/>
    <w:semiHidden/>
    <w:qFormat/>
    <w:pPr>
      <w:numPr>
        <w:ilvl w:val="5"/>
        <w:numId w:val="11"/>
      </w:numPr>
      <w:outlineLvl w:val="5"/>
    </w:pPr>
    <w:rPr>
      <w:rFonts w:eastAsiaTheme="majorEastAsia" w:cstheme="majorBidi"/>
      <w:iCs/>
    </w:rPr>
  </w:style>
  <w:style w:type="paragraph" w:styleId="Heading7">
    <w:name w:val="heading 7"/>
    <w:next w:val="BodyText"/>
    <w:link w:val="Heading7Char"/>
    <w:uiPriority w:val="99"/>
    <w:semiHidden/>
    <w:qFormat/>
    <w:pPr>
      <w:numPr>
        <w:ilvl w:val="6"/>
        <w:numId w:val="11"/>
      </w:numPr>
      <w:outlineLvl w:val="6"/>
    </w:pPr>
    <w:rPr>
      <w:rFonts w:eastAsiaTheme="majorEastAsia" w:cstheme="majorBidi"/>
      <w:iCs/>
    </w:rPr>
  </w:style>
  <w:style w:type="paragraph" w:styleId="Heading8">
    <w:name w:val="heading 8"/>
    <w:next w:val="BodyText"/>
    <w:link w:val="Heading8Char"/>
    <w:uiPriority w:val="99"/>
    <w:semiHidden/>
    <w:qFormat/>
    <w:pPr>
      <w:numPr>
        <w:ilvl w:val="7"/>
        <w:numId w:val="11"/>
      </w:numPr>
      <w:outlineLvl w:val="7"/>
    </w:pPr>
    <w:rPr>
      <w:rFonts w:eastAsiaTheme="majorEastAsia" w:cstheme="majorBidi"/>
      <w:szCs w:val="20"/>
    </w:rPr>
  </w:style>
  <w:style w:type="paragraph" w:styleId="Heading9">
    <w:name w:val="heading 9"/>
    <w:next w:val="BodyText"/>
    <w:link w:val="Heading9Char"/>
    <w:uiPriority w:val="99"/>
    <w:semiHidden/>
    <w:qFormat/>
    <w:pPr>
      <w:numPr>
        <w:ilvl w:val="8"/>
        <w:numId w:val="11"/>
      </w:numPr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uiPriority w:val="3"/>
    <w:qFormat/>
    <w:rPr>
      <w:rFonts w:eastAsiaTheme="minorEastAsia"/>
      <w:iCs/>
    </w:rPr>
  </w:style>
  <w:style w:type="paragraph" w:customStyle="1" w:styleId="Bullet3">
    <w:name w:val="Bullet3"/>
    <w:basedOn w:val="Normal"/>
    <w:link w:val="Bullet3Char"/>
    <w:uiPriority w:val="11"/>
    <w:pPr>
      <w:numPr>
        <w:ilvl w:val="2"/>
        <w:numId w:val="14"/>
      </w:numPr>
      <w:outlineLvl w:val="2"/>
    </w:pPr>
  </w:style>
  <w:style w:type="character" w:customStyle="1" w:styleId="Bullet3Char">
    <w:name w:val="Bullet3 Char"/>
    <w:basedOn w:val="DefaultParagraphFont"/>
    <w:link w:val="Bullet3"/>
    <w:uiPriority w:val="11"/>
    <w:rPr>
      <w:rFonts w:cs="Times New Roman"/>
    </w:rPr>
  </w:style>
  <w:style w:type="paragraph" w:customStyle="1" w:styleId="Bullet2">
    <w:name w:val="Bullet2"/>
    <w:basedOn w:val="Normal"/>
    <w:link w:val="Bullet2Char"/>
    <w:uiPriority w:val="11"/>
    <w:pPr>
      <w:numPr>
        <w:ilvl w:val="1"/>
        <w:numId w:val="14"/>
      </w:numPr>
      <w:outlineLvl w:val="1"/>
    </w:pPr>
  </w:style>
  <w:style w:type="character" w:customStyle="1" w:styleId="Bullet2Char">
    <w:name w:val="Bullet2 Char"/>
    <w:basedOn w:val="DefaultParagraphFont"/>
    <w:link w:val="Bullet2"/>
    <w:uiPriority w:val="11"/>
    <w:rPr>
      <w:rFonts w:cs="Times New Roman"/>
    </w:rPr>
  </w:style>
  <w:style w:type="paragraph" w:customStyle="1" w:styleId="Bullet1">
    <w:name w:val="Bullet1"/>
    <w:basedOn w:val="Normal"/>
    <w:link w:val="Bullet1Char"/>
    <w:uiPriority w:val="11"/>
    <w:pPr>
      <w:numPr>
        <w:numId w:val="14"/>
      </w:numPr>
      <w:outlineLvl w:val="0"/>
    </w:pPr>
  </w:style>
  <w:style w:type="character" w:customStyle="1" w:styleId="Bullet1Char">
    <w:name w:val="Bullet1 Char"/>
    <w:basedOn w:val="DefaultParagraphFont"/>
    <w:link w:val="Bullet1"/>
    <w:uiPriority w:val="11"/>
    <w:rPr>
      <w:rFonts w:cs="Times New Roman"/>
    </w:rPr>
  </w:style>
  <w:style w:type="paragraph" w:styleId="BodyText">
    <w:name w:val="Body Text"/>
    <w:link w:val="BodyTextChar"/>
    <w:uiPriority w:val="2"/>
    <w:qFormat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2"/>
  </w:style>
  <w:style w:type="paragraph" w:customStyle="1" w:styleId="CenterB">
    <w:name w:val="Center B"/>
    <w:uiPriority w:val="9"/>
    <w:qFormat/>
    <w:pPr>
      <w:jc w:val="center"/>
    </w:pPr>
    <w:rPr>
      <w:rFonts w:eastAsiaTheme="minorEastAsia"/>
      <w:b/>
      <w:iCs/>
    </w:rPr>
  </w:style>
  <w:style w:type="paragraph" w:customStyle="1" w:styleId="CenterU">
    <w:name w:val="Center U"/>
    <w:uiPriority w:val="8"/>
    <w:qFormat/>
    <w:pPr>
      <w:jc w:val="center"/>
    </w:pPr>
    <w:rPr>
      <w:rFonts w:eastAsiaTheme="minorEastAsia"/>
      <w:iCs/>
      <w:u w:val="single"/>
    </w:rPr>
  </w:style>
  <w:style w:type="paragraph" w:styleId="Quote">
    <w:name w:val="Quote"/>
    <w:next w:val="BlockText"/>
    <w:link w:val="QuoteChar"/>
    <w:uiPriority w:val="11"/>
    <w:qFormat/>
    <w:pPr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uiPriority w:val="11"/>
    <w:rPr>
      <w:iCs/>
    </w:rPr>
  </w:style>
  <w:style w:type="paragraph" w:customStyle="1" w:styleId="BodyTextDouble">
    <w:name w:val="Body Text Double"/>
    <w:uiPriority w:val="2"/>
    <w:qFormat/>
    <w:pPr>
      <w:spacing w:line="480" w:lineRule="auto"/>
      <w:ind w:firstLine="720"/>
    </w:pPr>
  </w:style>
  <w:style w:type="paragraph" w:styleId="BodyText2">
    <w:name w:val="Body Text 2"/>
    <w:link w:val="BodyText2Char"/>
    <w:uiPriority w:val="2"/>
    <w:qFormat/>
    <w:pPr>
      <w:ind w:firstLine="1440"/>
    </w:pPr>
  </w:style>
  <w:style w:type="character" w:customStyle="1" w:styleId="BodyText2Char">
    <w:name w:val="Body Text 2 Char"/>
    <w:basedOn w:val="DefaultParagraphFont"/>
    <w:link w:val="BodyText2"/>
    <w:uiPriority w:val="2"/>
  </w:style>
  <w:style w:type="paragraph" w:customStyle="1" w:styleId="CenterBCAPS">
    <w:name w:val="Center B CAPS"/>
    <w:uiPriority w:val="9"/>
    <w:qFormat/>
    <w:pPr>
      <w:jc w:val="center"/>
    </w:pPr>
    <w:rPr>
      <w:b/>
      <w:caps/>
    </w:rPr>
  </w:style>
  <w:style w:type="paragraph" w:customStyle="1" w:styleId="BlockTextCAPS">
    <w:name w:val="Block Text CAPS"/>
    <w:uiPriority w:val="4"/>
    <w:qFormat/>
    <w:rPr>
      <w:caps/>
    </w:rPr>
  </w:style>
  <w:style w:type="paragraph" w:customStyle="1" w:styleId="CenterBUCaps">
    <w:name w:val="Center BU Caps"/>
    <w:uiPriority w:val="9"/>
    <w:qFormat/>
    <w:pPr>
      <w:jc w:val="center"/>
    </w:pPr>
    <w:rPr>
      <w:b/>
      <w:caps/>
      <w:u w:val="single"/>
    </w:rPr>
  </w:style>
  <w:style w:type="paragraph" w:customStyle="1" w:styleId="SubtitleLeftB">
    <w:name w:val="Subtitle Left B"/>
    <w:uiPriority w:val="9"/>
    <w:qFormat/>
    <w:pPr>
      <w:jc w:val="left"/>
    </w:pPr>
    <w:rPr>
      <w:b/>
    </w:rPr>
  </w:style>
  <w:style w:type="paragraph" w:customStyle="1" w:styleId="CenterText">
    <w:name w:val="Center Text"/>
    <w:uiPriority w:val="8"/>
    <w:qFormat/>
    <w:pPr>
      <w:jc w:val="center"/>
    </w:pPr>
  </w:style>
  <w:style w:type="paragraph" w:customStyle="1" w:styleId="CenterBU">
    <w:name w:val="Center BU"/>
    <w:uiPriority w:val="9"/>
    <w:qFormat/>
    <w:pPr>
      <w:jc w:val="center"/>
    </w:pPr>
    <w:rPr>
      <w:b/>
      <w:u w:val="single"/>
    </w:rPr>
  </w:style>
  <w:style w:type="paragraph" w:customStyle="1" w:styleId="SubtitleLeftBU">
    <w:name w:val="Subtitle Left BU"/>
    <w:uiPriority w:val="9"/>
    <w:qFormat/>
    <w:pPr>
      <w:jc w:val="left"/>
    </w:pPr>
    <w:rPr>
      <w:b/>
      <w:u w:val="single"/>
    </w:rPr>
  </w:style>
  <w:style w:type="paragraph" w:customStyle="1" w:styleId="FlushRight">
    <w:name w:val="Flush Right"/>
    <w:uiPriority w:val="11"/>
    <w:qFormat/>
    <w:pPr>
      <w:jc w:val="right"/>
    </w:pPr>
  </w:style>
  <w:style w:type="paragraph" w:styleId="Signature">
    <w:name w:val="Signature"/>
    <w:basedOn w:val="Normal"/>
    <w:link w:val="SignatureChar"/>
    <w:uiPriority w:val="9"/>
    <w:qFormat/>
    <w:pPr>
      <w:spacing w:after="240"/>
      <w:ind w:left="4320"/>
    </w:pPr>
    <w:rPr>
      <w:rFonts w:eastAsia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"/>
  </w:style>
  <w:style w:type="paragraph" w:customStyle="1" w:styleId="FlushLeft">
    <w:name w:val="Flush Left"/>
    <w:uiPriority w:val="11"/>
    <w:qFormat/>
    <w:pPr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eastAsiaTheme="majorEastAsia" w:cstheme="majorBidi"/>
      <w:iCs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otnoteReference">
    <w:name w:val="footnote reference"/>
    <w:rsid w:val="00F115D5"/>
    <w:rPr>
      <w:caps w:val="0"/>
      <w:smallCaps w:val="0"/>
      <w:strike w:val="0"/>
      <w:dstrike w:val="0"/>
      <w:vanish w:val="0"/>
      <w:vertAlign w:val="superscript"/>
    </w:rPr>
  </w:style>
  <w:style w:type="paragraph" w:styleId="FootnoteText">
    <w:name w:val="footnote text"/>
    <w:link w:val="FootnoteTextChar"/>
    <w:rsid w:val="00F115D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115D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61C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60C6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0C6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60C6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0C6D"/>
    <w:pPr>
      <w:spacing w:before="100" w:beforeAutospacing="1" w:after="100" w:afterAutospacing="1"/>
    </w:pPr>
    <w:rPr>
      <w:rFonts w:eastAsia="Times New Roman"/>
    </w:rPr>
  </w:style>
  <w:style w:type="character" w:customStyle="1" w:styleId="Date1">
    <w:name w:val="Date1"/>
    <w:basedOn w:val="DefaultParagraphFont"/>
    <w:rsid w:val="0056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jpeg" />
  <Relationship Id="rId13" Type="http://schemas.openxmlformats.org/officeDocument/2006/relationships/header" Target="header3.xml" />
  <Relationship Id="rId18" Type="http://schemas.openxmlformats.org/officeDocument/2006/relationships/hyperlink" Target="https://www.kkwc.com/wp-content/uploads/2018/07/Celebrity-Wills.pdf" TargetMode="External" />
  <Relationship Id="rId26" Type="http://schemas.openxmlformats.org/officeDocument/2006/relationships/hyperlink" Target="https://www.kkwc.com/wp-content/uploads/2015/04/uf_Estate_Planning_in_Decoupled_States_PostATRA.pdf" TargetMode="External" />
  <Relationship Id="rId39" Type="http://schemas.openxmlformats.org/officeDocument/2006/relationships/hyperlink" Target="https://www.kkwc.com/wp-content/uploads/2015/04/AR20041209154501.pdf" TargetMode="External" />
  <Relationship Id="rId3" Type="http://schemas.microsoft.com/office/2007/relationships/stylesWithEffects" Target="stylesWithEffects.xml" />
  <Relationship Id="rId21" Type="http://schemas.openxmlformats.org/officeDocument/2006/relationships/hyperlink" Target="https://www.kkwc.com/wp-content/uploads/2015/08/IRA-Rollovers-Making-this-option-possible.pdf" TargetMode="External" />
  <Relationship Id="rId34" Type="http://schemas.openxmlformats.org/officeDocument/2006/relationships/hyperlink" Target="https://www.kkwc.com/wp-content/uploads/2015/04/uf_using_trusts2.pdf" TargetMode="External" />
  <Relationship Id="rId42" Type="http://schemas.openxmlformats.org/officeDocument/2006/relationships/hyperlink" Target="https://www.kkwc.com/wp-content/uploads/2015/04/AR20041011173709.pdf" TargetMode="External" />
  <Relationship Id="rId7" Type="http://schemas.openxmlformats.org/officeDocument/2006/relationships/endnotes" Target="endnotes.xml" />
  <Relationship Id="rId12" Type="http://schemas.openxmlformats.org/officeDocument/2006/relationships/footer" Target="footer2.xml" />
  <Relationship Id="rId17" Type="http://schemas.openxmlformats.org/officeDocument/2006/relationships/hyperlink" Target="https://www.kkwc.com/wp-content/uploads/2018/08/Tax-Reform-Opens-Window-for-Roth-Conversations.pdf" TargetMode="External" />
  <Relationship Id="rId25" Type="http://schemas.openxmlformats.org/officeDocument/2006/relationships/hyperlink" Target="https://www.kkwc.com/wp-content/uploads/2015/04/uf_IRS_Rules_No_Problem_If_IRA_Trust_Runs_Out_of_Ben.pdf" TargetMode="External" />
  <Relationship Id="rId33" Type="http://schemas.openxmlformats.org/officeDocument/2006/relationships/hyperlink" Target="https://www.kkwc.com/wp-content/uploads/2015/04/uf_Bruce_Steiner_Feature__Restorative_Payments.pdf" TargetMode="External" />
  <Relationship Id="rId38" Type="http://schemas.openxmlformats.org/officeDocument/2006/relationships/hyperlink" Target="https://www.kkwc.com/wp-content/uploads/2015/04/AR20041209132954.pdf" TargetMode="External" />
  <Relationship Id="rId46" Type="http://schemas.openxmlformats.org/officeDocument/2006/relationships/theme" Target="theme/theme1.xml" />
  <Relationship Id="rId2" Type="http://schemas.openxmlformats.org/officeDocument/2006/relationships/styles" Target="styles.xml" />
  <Relationship Id="rId16" Type="http://schemas.openxmlformats.org/officeDocument/2006/relationships/hyperlink" Target="https://www.kkwc.com/wp-content/uploads/2019/05/KKWC-399414-v1-Celebrity_estate_planning_II_-_Probate__Property_May_June_2019.pdf" TargetMode="External" />
  <Relationship Id="rId20" Type="http://schemas.openxmlformats.org/officeDocument/2006/relationships/hyperlink" Target="https://www.kkwc.com/wp-content/uploads/2016/02/KKWC-302554-v1-Swap_powers_-_Dec__2015_Trusts__Estates.pdf" TargetMode="External" />
  <Relationship Id="rId29" Type="http://schemas.openxmlformats.org/officeDocument/2006/relationships/hyperlink" Target="https://www.kkwc.com/wp-content/uploads/2015/02/giftsplitting1.pdf" TargetMode="External" />
  <Relationship Id="rId41" Type="http://schemas.openxmlformats.org/officeDocument/2006/relationships/hyperlink" Target="https://www.kkwc.com/wp-content/uploads/2015/04/AR20050125164755.pdf" TargetMode="Externa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footer" Target="footer1.xml" />
  <Relationship Id="rId24" Type="http://schemas.openxmlformats.org/officeDocument/2006/relationships/hyperlink" Target="https://wealthmanagement.com/retirement-planning/make-qualified-charitable-distributions-dec-31" TargetMode="External" />
  <Relationship Id="rId32" Type="http://schemas.openxmlformats.org/officeDocument/2006/relationships/hyperlink" Target="https://www.kkwc.com/wp-content/uploads/2015/04/uf_KKWC-199843-v1-Practical_Guidance_on_2010_Carry_Over_Basis.pdf" TargetMode="External" />
  <Relationship Id="rId37" Type="http://schemas.openxmlformats.org/officeDocument/2006/relationships/hyperlink" Target="https://www.kkwc.com/wp-content/uploads/2015/04/TE_Wealth_Watch_News_August_2007.pdf" TargetMode="External" />
  <Relationship Id="rId40" Type="http://schemas.openxmlformats.org/officeDocument/2006/relationships/hyperlink" Target="https://www.kkwc.com/wp-content/uploads/2015/04/AR20041012155030.pdf" TargetMode="External" />
  <Relationship Id="rId45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5" Type="http://schemas.openxmlformats.org/officeDocument/2006/relationships/hyperlink" Target="https://www.kkwc.com/wp-content/uploads/2019/08/Steiner.pdf" TargetMode="External" />
  <Relationship Id="rId23" Type="http://schemas.openxmlformats.org/officeDocument/2006/relationships/hyperlink" Target="https://www.kkwc.com/wp-content/uploads/2015/04/uf_Estate_Planning_in_a_Decoupled_State_Post-ATRA_for_Married_Clients_Under_the_Federal_Exclusion_Amount.pdf" TargetMode="External" />
  <Relationship Id="rId28" Type="http://schemas.openxmlformats.org/officeDocument/2006/relationships/hyperlink" Target="https://www.kkwc.com/wp-content/uploads/2015/04/uf_Roth_Conversions_Are_More_Attractive_Under_ATRA.pdf" TargetMode="External" />
  <Relationship Id="rId36" Type="http://schemas.openxmlformats.org/officeDocument/2006/relationships/hyperlink" Target="https://www.kkwc.com/wp-content/uploads/2015/04/uf_steiner_Ten_Common_Errors.pdf" TargetMode="External" />
  <Relationship Id="rId10" Type="http://schemas.openxmlformats.org/officeDocument/2006/relationships/header" Target="header2.xml" />
  <Relationship Id="rId19" Type="http://schemas.openxmlformats.org/officeDocument/2006/relationships/hyperlink" Target="https://protect-us.mimecast.com/s/HOnWCYEQvOCBL9AT0qEZn?domain=philadelphiabar.org" TargetMode="External" />
  <Relationship Id="rId31" Type="http://schemas.openxmlformats.org/officeDocument/2006/relationships/hyperlink" Target="https://www.kkwc.com/wp-content/uploads/2015/04/uf_Beware_of_the_Reciprocal_Trust_Doctrine.pdf" TargetMode="External" />
  <Relationship Id="rId44" Type="http://schemas.openxmlformats.org/officeDocument/2006/relationships/hyperlink" Target="https://www.kkwc.com/wp-content/uploads/2015/04/AR20041004153003.pdf" TargetMode="External" />
  <Relationship Id="rId4" Type="http://schemas.openxmlformats.org/officeDocument/2006/relationships/settings" Target="settings.xml" />
  <Relationship Id="rId9" Type="http://schemas.openxmlformats.org/officeDocument/2006/relationships/header" Target="header1.xml" />
  <Relationship Id="rId14" Type="http://schemas.openxmlformats.org/officeDocument/2006/relationships/footer" Target="footer3.xml" />
  <Relationship Id="rId22" Type="http://schemas.openxmlformats.org/officeDocument/2006/relationships/hyperlink" Target="https://wealthmanagement.com/retirement-planning/fiscal-year-2015-revenue-proposals-affecting-retirement-plans-and-iras" TargetMode="External" />
  <Relationship Id="rId27" Type="http://schemas.openxmlformats.org/officeDocument/2006/relationships/hyperlink" Target="https://www.kkwc.com/wp-content/uploads/2015/04/uf_Using_Portability_for_Retirement_Benefits.pdf" TargetMode="External" />
  <Relationship Id="rId30" Type="http://schemas.openxmlformats.org/officeDocument/2006/relationships/hyperlink" Target="https://www.kkwc.com/wp-content/uploads/2015/04/uf_Post_Mortem_Action_Can_Limit_Class_Of_Beneficiaries.pdf" TargetMode="External" />
  <Relationship Id="rId35" Type="http://schemas.openxmlformats.org/officeDocument/2006/relationships/hyperlink" Target="https://www.kkwc.com/wp-content/uploads/2015/04/uf_trusteed_IRA.pdf" TargetMode="External" />
  <Relationship Id="rId43" Type="http://schemas.openxmlformats.org/officeDocument/2006/relationships/hyperlink" Target="https://www.kkwc.com/wp-content/uploads/2015/04/AR200410111728531.pdf" TargetMode="External" />
</Relationships>
</file>

<file path=word/_rels/head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2.wmf" />
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2.wmf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1584</Words>
  <Characters>9032</Characters>
  <Application>
  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
  </cp:lastModifiedBy>
  <cp:revision>1</cp:revision>
  <dcterms:created xsi:type="dcterms:W3CDTF">1900-01-01T05:00:00Z</dcterms:created>
  <dcterms:modified xsi:type="dcterms:W3CDTF">1900-01-01T05:00:00Z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</Properties>
</file>